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5"/>
        </w:rPr>
      </w:pPr>
    </w:p>
    <w:p>
      <w:pPr>
        <w:spacing w:before="0" w:line="1936" w:lineRule="exact"/>
        <w:ind w:left="477" w:right="365" w:firstLine="0"/>
        <w:jc w:val="center"/>
        <w:rPr>
          <w:rFonts w:hint="eastAsia" w:ascii="方正小标宋简体" w:eastAsia="方正小标宋简体"/>
          <w:sz w:val="124"/>
        </w:rPr>
      </w:pPr>
      <w:r>
        <w:rPr>
          <w:rFonts w:hint="eastAsia" w:ascii="方正小标宋简体" w:eastAsia="方正小标宋简体"/>
          <w:color w:val="FF0000"/>
          <w:w w:val="60"/>
          <w:sz w:val="124"/>
        </w:rPr>
        <w:t>吉林市</w:t>
      </w:r>
      <w:bookmarkStart w:id="0" w:name="_GoBack"/>
      <w:bookmarkEnd w:id="0"/>
      <w:r>
        <w:rPr>
          <w:rFonts w:hint="eastAsia" w:ascii="方正小标宋简体" w:eastAsia="方正小标宋简体"/>
          <w:color w:val="FF0000"/>
          <w:w w:val="60"/>
          <w:sz w:val="124"/>
        </w:rPr>
        <w:t>人民政府办公厅文件</w:t>
      </w:r>
    </w:p>
    <w:p>
      <w:pPr>
        <w:pStyle w:val="3"/>
        <w:spacing w:before="1106"/>
        <w:ind w:left="13" w:right="365"/>
        <w:jc w:val="center"/>
      </w:pPr>
      <w:r>
        <w:t>吉市政办发〔2016〕38 号</w:t>
      </w:r>
    </w:p>
    <w:p>
      <w:pPr>
        <w:pStyle w:val="3"/>
        <w:ind w:left="0"/>
        <w:rPr>
          <w:sz w:val="9"/>
        </w:rPr>
      </w:pPr>
      <w:r>
        <mc:AlternateContent>
          <mc:Choice Requires="wps">
            <w:drawing>
              <wp:anchor distT="0" distB="0" distL="0" distR="0" simplePos="0" relativeHeight="251664384" behindDoc="1" locked="0" layoutInCell="1" allowOverlap="1">
                <wp:simplePos x="0" y="0"/>
                <wp:positionH relativeFrom="page">
                  <wp:posOffset>1007110</wp:posOffset>
                </wp:positionH>
                <wp:positionV relativeFrom="paragraph">
                  <wp:posOffset>102870</wp:posOffset>
                </wp:positionV>
                <wp:extent cx="5715000" cy="0"/>
                <wp:effectExtent l="0" t="0" r="0" b="0"/>
                <wp:wrapTopAndBottom/>
                <wp:docPr id="4" name="直线 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9.3pt;margin-top:8.1pt;height:0pt;width:450pt;mso-position-horizontal-relative:page;mso-wrap-distance-bottom:0pt;mso-wrap-distance-top:0pt;z-index:-251652096;mso-width-relative:page;mso-height-relative:page;" filled="f" stroked="t" coordsize="21600,21600" o:gfxdata="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ljnoDUAAAA&#10;CgEAAA8AAAAAAAAAAQAgAAAAIgAAAGRycy9kb3ducmV2LnhtbFBLAQIUABQAAAAIAIdO4kCbBbt6&#10;6AEAANsDAAAOAAAAAAAAAAEAIAAAACMBAABkcnMvZTJvRG9jLnhtbFBLBQYAAAAABgAGAFkBAAB9&#10;BQAAAAA=&#10;">
                <v:fill on="f" focussize="0,0"/>
                <v:stroke color="#FF0000" joinstyle="round"/>
                <v:imagedata o:title=""/>
                <o:lock v:ext="edit" aspectratio="f"/>
                <w10:wrap type="topAndBottom"/>
              </v:line>
            </w:pict>
          </mc:Fallback>
        </mc:AlternateContent>
      </w:r>
    </w:p>
    <w:p>
      <w:pPr>
        <w:pStyle w:val="3"/>
        <w:spacing w:before="9"/>
        <w:ind w:left="0"/>
        <w:rPr>
          <w:sz w:val="43"/>
        </w:rPr>
      </w:pPr>
    </w:p>
    <w:p>
      <w:pPr>
        <w:pStyle w:val="2"/>
        <w:spacing w:before="1" w:line="701" w:lineRule="exact"/>
        <w:ind w:right="365"/>
      </w:pPr>
      <w:r>
        <w:t>吉林市人民政府办公厅</w:t>
      </w:r>
    </w:p>
    <w:p>
      <w:pPr>
        <w:spacing w:before="43" w:line="184" w:lineRule="auto"/>
        <w:ind w:left="959" w:right="923" w:firstLine="0"/>
        <w:jc w:val="center"/>
        <w:rPr>
          <w:rFonts w:hint="eastAsia" w:ascii="方正小标宋简体" w:eastAsia="方正小标宋简体"/>
          <w:sz w:val="44"/>
        </w:rPr>
      </w:pPr>
      <w:r>
        <w:rPr>
          <w:rFonts w:hint="eastAsia" w:ascii="方正小标宋简体" w:eastAsia="方正小标宋简体"/>
          <w:spacing w:val="-1"/>
          <w:sz w:val="44"/>
        </w:rPr>
        <w:t>关于印发《吉林市产业投资引导基金管理暂行办法（试行</w:t>
      </w:r>
      <w:r>
        <w:rPr>
          <w:rFonts w:hint="eastAsia" w:ascii="方正小标宋简体" w:eastAsia="方正小标宋简体"/>
          <w:spacing w:val="-221"/>
          <w:sz w:val="44"/>
        </w:rPr>
        <w:t>）</w:t>
      </w:r>
      <w:r>
        <w:rPr>
          <w:rFonts w:hint="eastAsia" w:ascii="方正小标宋简体" w:eastAsia="方正小标宋简体"/>
          <w:sz w:val="44"/>
        </w:rPr>
        <w:t>》的通知</w:t>
      </w:r>
    </w:p>
    <w:p>
      <w:pPr>
        <w:pStyle w:val="3"/>
        <w:spacing w:before="484" w:line="364" w:lineRule="auto"/>
        <w:ind w:left="268" w:right="204"/>
      </w:pPr>
      <w:r>
        <w:t>各县（市）区人民政府，各开发区管委会，市政府各委办局、直属机构：</w:t>
      </w:r>
    </w:p>
    <w:p>
      <w:pPr>
        <w:pStyle w:val="3"/>
        <w:spacing w:before="143" w:line="338" w:lineRule="auto"/>
        <w:ind w:left="108" w:right="109" w:firstLine="964"/>
      </w:pPr>
      <w:r>
        <w:rPr>
          <w:spacing w:val="4"/>
        </w:rPr>
        <w:t>《吉林市产业投资引导基金管理暂行办法（试行</w:t>
      </w:r>
      <w:r>
        <w:rPr>
          <w:spacing w:val="-155"/>
        </w:rPr>
        <w:t>）</w:t>
      </w:r>
      <w:r>
        <w:rPr>
          <w:spacing w:val="4"/>
        </w:rPr>
        <w:t>》已经市政</w:t>
      </w:r>
      <w:r>
        <w:t>府同意，现印发给你们，请遵照执行。</w:t>
      </w:r>
    </w:p>
    <w:p>
      <w:pPr>
        <w:pStyle w:val="3"/>
        <w:ind w:left="0"/>
      </w:pPr>
    </w:p>
    <w:p>
      <w:pPr>
        <w:pStyle w:val="3"/>
        <w:ind w:left="0"/>
      </w:pPr>
    </w:p>
    <w:p>
      <w:pPr>
        <w:pStyle w:val="3"/>
        <w:spacing w:before="285" w:line="364" w:lineRule="auto"/>
        <w:ind w:left="5266" w:right="1656" w:hanging="321"/>
      </w:pPr>
      <w:r>
        <w:rPr>
          <w:spacing w:val="-2"/>
        </w:rPr>
        <w:t>吉林市人民政府办公厅</w:t>
      </w:r>
      <w:r>
        <w:t>2016</w:t>
      </w:r>
      <w:r>
        <w:rPr>
          <w:spacing w:val="-55"/>
        </w:rPr>
        <w:t xml:space="preserve"> 年 </w:t>
      </w:r>
      <w:r>
        <w:t>12</w:t>
      </w:r>
      <w:r>
        <w:rPr>
          <w:spacing w:val="-55"/>
        </w:rPr>
        <w:t xml:space="preserve"> 月 </w:t>
      </w:r>
      <w:r>
        <w:t>19</w:t>
      </w:r>
      <w:r>
        <w:rPr>
          <w:spacing w:val="-41"/>
        </w:rPr>
        <w:t xml:space="preserve"> 日</w:t>
      </w:r>
    </w:p>
    <w:p>
      <w:pPr>
        <w:spacing w:after="0" w:line="364" w:lineRule="auto"/>
        <w:sectPr>
          <w:type w:val="continuous"/>
          <w:pgSz w:w="11910" w:h="16840"/>
          <w:pgMar w:top="1600" w:right="980" w:bottom="280" w:left="1120" w:header="720" w:footer="720" w:gutter="0"/>
          <w:cols w:space="720" w:num="1"/>
        </w:sectPr>
      </w:pPr>
    </w:p>
    <w:p>
      <w:pPr>
        <w:pStyle w:val="3"/>
        <w:ind w:left="0"/>
        <w:rPr>
          <w:sz w:val="20"/>
        </w:rPr>
      </w:pPr>
    </w:p>
    <w:p>
      <w:pPr>
        <w:pStyle w:val="3"/>
        <w:spacing w:before="3"/>
        <w:ind w:left="0"/>
        <w:rPr>
          <w:sz w:val="16"/>
        </w:rPr>
      </w:pPr>
    </w:p>
    <w:p>
      <w:pPr>
        <w:pStyle w:val="2"/>
        <w:spacing w:line="752" w:lineRule="exact"/>
        <w:ind w:left="467"/>
        <w:jc w:val="left"/>
      </w:pPr>
      <w:r>
        <w:t>吉林市产业投资引导基金管理暂行办法（试行）</w:t>
      </w:r>
    </w:p>
    <w:p>
      <w:pPr>
        <w:pStyle w:val="3"/>
        <w:spacing w:before="2"/>
        <w:ind w:left="0"/>
        <w:rPr>
          <w:rFonts w:ascii="方正小标宋简体"/>
          <w:sz w:val="33"/>
        </w:rPr>
      </w:pPr>
    </w:p>
    <w:p>
      <w:pPr>
        <w:pStyle w:val="3"/>
        <w:tabs>
          <w:tab w:val="left" w:pos="1312"/>
          <w:tab w:val="left" w:pos="1952"/>
        </w:tabs>
        <w:ind w:left="32"/>
        <w:jc w:val="center"/>
        <w:rPr>
          <w:rFonts w:hint="eastAsia" w:ascii="黑体" w:eastAsia="黑体"/>
        </w:rPr>
      </w:pPr>
      <w:r>
        <w:rPr>
          <w:rFonts w:hint="eastAsia" w:ascii="黑体" w:eastAsia="黑体"/>
        </w:rPr>
        <w:t>第一章</w:t>
      </w:r>
      <w:r>
        <w:rPr>
          <w:rFonts w:hint="eastAsia" w:ascii="黑体" w:eastAsia="黑体"/>
        </w:rPr>
        <w:tab/>
      </w:r>
      <w:r>
        <w:rPr>
          <w:rFonts w:hint="eastAsia" w:ascii="黑体" w:eastAsia="黑体"/>
        </w:rPr>
        <w:t>总</w:t>
      </w:r>
      <w:r>
        <w:rPr>
          <w:rFonts w:hint="eastAsia" w:ascii="黑体" w:eastAsia="黑体"/>
        </w:rPr>
        <w:tab/>
      </w:r>
      <w:r>
        <w:rPr>
          <w:rFonts w:hint="eastAsia" w:ascii="黑体" w:eastAsia="黑体"/>
        </w:rPr>
        <w:t>则</w:t>
      </w:r>
    </w:p>
    <w:p>
      <w:pPr>
        <w:pStyle w:val="3"/>
        <w:spacing w:before="169" w:line="338" w:lineRule="auto"/>
        <w:ind w:right="368" w:firstLine="645"/>
        <w:jc w:val="both"/>
      </w:pPr>
      <w:r>
        <w:rPr>
          <w:rFonts w:hint="eastAsia" w:ascii="黑体" w:hAnsi="黑体" w:eastAsia="黑体"/>
        </w:rPr>
        <w:t xml:space="preserve">第一条 </w:t>
      </w:r>
      <w:r>
        <w:t>为规范和加强吉林市各类产业基金的运作与管理， 充分发挥财政专项资金的杠杆效应和引导作用，推动我市产业结构优化和转型升级，促进投资机构和社会资本进入我市鼓励、扶持类产业领域，根据国家及省有关法律、法规规定，结合我市实</w:t>
      </w:r>
      <w:r>
        <w:rPr>
          <w:w w:val="100"/>
        </w:rPr>
        <w:t>际，设立吉林市产业投资引导基金（以下简称“引导基金”），</w:t>
      </w:r>
      <w:r>
        <w:t>并制定本管理办法（以下简称“本办法”）。</w:t>
      </w:r>
    </w:p>
    <w:p>
      <w:pPr>
        <w:pStyle w:val="3"/>
        <w:spacing w:before="12" w:line="338" w:lineRule="auto"/>
        <w:ind w:right="421" w:firstLine="639"/>
        <w:jc w:val="both"/>
      </w:pPr>
      <w:r>
        <w:rPr>
          <w:rFonts w:hint="eastAsia" w:ascii="黑体" w:hAnsi="黑体" w:eastAsia="黑体"/>
          <w:spacing w:val="14"/>
        </w:rPr>
        <w:t xml:space="preserve">第二条 </w:t>
      </w:r>
      <w:r>
        <w:rPr>
          <w:spacing w:val="9"/>
        </w:rPr>
        <w:t>本办法所称引导基金，是指由吉林市政府主导设</w:t>
      </w:r>
      <w:r>
        <w:rPr>
          <w:spacing w:val="-8"/>
        </w:rPr>
        <w:t>立，以政府指导为主，兼顾市场化进行运作，不以盈利为目的的</w:t>
      </w:r>
      <w:r>
        <w:rPr>
          <w:spacing w:val="-7"/>
        </w:rPr>
        <w:t>政策性基金。其宗旨是发挥财政资金的杠杆放大效应，紧密结合</w:t>
      </w:r>
      <w:r>
        <w:rPr>
          <w:spacing w:val="-9"/>
        </w:rPr>
        <w:t>我市经济发展需求，围绕“</w:t>
      </w:r>
      <w:r>
        <w:rPr>
          <w:spacing w:val="-4"/>
        </w:rPr>
        <w:t>6411”产业发展战略，引导金融资本和社会资本重点投向与该产业发展战略紧密相关的实体经济，推动经济结构调整和产业转型升级。</w:t>
      </w:r>
    </w:p>
    <w:p>
      <w:pPr>
        <w:pStyle w:val="3"/>
        <w:spacing w:before="11" w:line="338" w:lineRule="auto"/>
        <w:ind w:right="376" w:firstLine="637"/>
        <w:jc w:val="both"/>
      </w:pPr>
      <w:r>
        <w:rPr>
          <w:rFonts w:hint="eastAsia" w:ascii="黑体" w:hAnsi="黑体" w:eastAsia="黑体"/>
          <w:spacing w:val="36"/>
        </w:rPr>
        <w:t xml:space="preserve">第三条 </w:t>
      </w:r>
      <w:r>
        <w:t>引导基金按照“政府引导、市场运作、科学决策、</w:t>
      </w:r>
      <w:r>
        <w:rPr>
          <w:spacing w:val="-7"/>
        </w:rPr>
        <w:t>防范风险”的原则，建立基金管理委员会、投资咨询委员会和引</w:t>
      </w:r>
      <w:r>
        <w:rPr>
          <w:spacing w:val="9"/>
        </w:rPr>
        <w:t>导基金受托管理机构分层次的管理架构进行投资运作，构建决</w:t>
      </w:r>
      <w:r>
        <w:t>策、监督、执行分离的管理体制。</w:t>
      </w:r>
    </w:p>
    <w:p>
      <w:pPr>
        <w:pStyle w:val="3"/>
        <w:tabs>
          <w:tab w:val="left" w:pos="2384"/>
        </w:tabs>
        <w:spacing w:before="9"/>
        <w:ind w:left="1104"/>
      </w:pPr>
      <w:r>
        <w:rPr>
          <w:rFonts w:hint="eastAsia" w:ascii="黑体" w:eastAsia="黑体"/>
        </w:rPr>
        <w:t>第四条</w:t>
      </w:r>
      <w:r>
        <w:rPr>
          <w:rFonts w:hint="eastAsia" w:ascii="黑体" w:eastAsia="黑体"/>
        </w:rPr>
        <w:tab/>
      </w:r>
      <w:r>
        <w:t>引导基金的资金来源。</w:t>
      </w:r>
    </w:p>
    <w:p>
      <w:pPr>
        <w:pStyle w:val="3"/>
        <w:spacing w:before="169"/>
        <w:ind w:left="1107"/>
      </w:pPr>
      <w:r>
        <w:t>（一）原吉林市创业投资引导基金有限公司注册资本金。</w:t>
      </w:r>
    </w:p>
    <w:p>
      <w:pPr>
        <w:pStyle w:val="3"/>
        <w:spacing w:before="170"/>
        <w:ind w:left="1107"/>
      </w:pPr>
      <w:r>
        <w:t>（二）市财政专项整合资金和盘活存量资金。</w:t>
      </w:r>
    </w:p>
    <w:p>
      <w:pPr>
        <w:spacing w:after="0"/>
        <w:sectPr>
          <w:footerReference r:id="rId5" w:type="default"/>
          <w:footerReference r:id="rId6" w:type="even"/>
          <w:pgSz w:w="11910" w:h="16840"/>
          <w:pgMar w:top="1600" w:right="980" w:bottom="1100" w:left="1120" w:header="0" w:footer="907" w:gutter="0"/>
          <w:pgNumType w:start="2"/>
          <w:cols w:space="720" w:num="1"/>
        </w:sectPr>
      </w:pPr>
    </w:p>
    <w:p>
      <w:pPr>
        <w:pStyle w:val="3"/>
        <w:ind w:left="0"/>
        <w:rPr>
          <w:sz w:val="20"/>
        </w:rPr>
      </w:pPr>
    </w:p>
    <w:p>
      <w:pPr>
        <w:pStyle w:val="3"/>
        <w:spacing w:before="10"/>
        <w:ind w:left="0"/>
        <w:rPr>
          <w:sz w:val="25"/>
        </w:rPr>
      </w:pPr>
    </w:p>
    <w:p>
      <w:pPr>
        <w:pStyle w:val="3"/>
        <w:spacing w:before="55"/>
        <w:ind w:left="1107"/>
      </w:pPr>
      <w:r>
        <w:t>（三）中央和省级财政有关专项资金。</w:t>
      </w:r>
    </w:p>
    <w:p>
      <w:pPr>
        <w:pStyle w:val="3"/>
        <w:spacing w:before="171"/>
        <w:ind w:left="1107"/>
      </w:pPr>
      <w:r>
        <w:t>（四）中央有关专项基金和省股权基金投资。</w:t>
      </w:r>
    </w:p>
    <w:p>
      <w:pPr>
        <w:pStyle w:val="3"/>
        <w:spacing w:before="170"/>
        <w:ind w:left="1107"/>
      </w:pPr>
      <w:r>
        <w:t>（五）引导基金投资收益。</w:t>
      </w:r>
    </w:p>
    <w:p>
      <w:pPr>
        <w:pStyle w:val="3"/>
        <w:spacing w:before="169"/>
        <w:ind w:left="1113"/>
      </w:pPr>
      <w:r>
        <w:t>（六）其他资金来源。</w:t>
      </w:r>
    </w:p>
    <w:p>
      <w:pPr>
        <w:pStyle w:val="3"/>
        <w:spacing w:before="171" w:line="338" w:lineRule="auto"/>
        <w:ind w:right="432" w:firstLine="639"/>
        <w:jc w:val="both"/>
      </w:pPr>
      <w:r>
        <w:rPr>
          <w:rFonts w:hint="eastAsia" w:ascii="黑体" w:eastAsia="黑体"/>
          <w:spacing w:val="36"/>
        </w:rPr>
        <w:t xml:space="preserve">第五条 </w:t>
      </w:r>
      <w:r>
        <w:rPr>
          <w:spacing w:val="-4"/>
        </w:rPr>
        <w:t>引导基金规模可根据我市产业引导需求、市场容量</w:t>
      </w:r>
      <w:r>
        <w:rPr>
          <w:spacing w:val="-8"/>
        </w:rPr>
        <w:t xml:space="preserve">及可用财力情况，逐年分期到位，首期规模为 </w:t>
      </w:r>
      <w:r>
        <w:t>30</w:t>
      </w:r>
      <w:r>
        <w:rPr>
          <w:spacing w:val="-13"/>
        </w:rPr>
        <w:t xml:space="preserve"> 亿元，后期视运作和管理情况经市政府批准后逐步扩大规模。</w:t>
      </w:r>
    </w:p>
    <w:p>
      <w:pPr>
        <w:pStyle w:val="3"/>
        <w:spacing w:before="6" w:line="338" w:lineRule="auto"/>
        <w:ind w:right="271" w:firstLine="639"/>
      </w:pPr>
      <w:r>
        <w:rPr>
          <w:rFonts w:hint="eastAsia" w:ascii="黑体" w:eastAsia="黑体"/>
          <w:spacing w:val="-2"/>
        </w:rPr>
        <w:t xml:space="preserve">第六条 </w:t>
      </w:r>
      <w:r>
        <w:t>市产业投资引导基金成立后，凡由财政资金出资成</w:t>
      </w:r>
      <w:r>
        <w:rPr>
          <w:spacing w:val="-7"/>
        </w:rPr>
        <w:t>立的基金，必须提交基金管理委员会审批，并由引导基金受托管</w:t>
      </w:r>
      <w:r>
        <w:rPr>
          <w:spacing w:val="-10"/>
        </w:rPr>
        <w:t>理机构统一作为引导基金出资人。市属平台公司、各区政府、市</w:t>
      </w:r>
      <w:r>
        <w:rPr>
          <w:spacing w:val="-13"/>
        </w:rPr>
        <w:t>直各部门已经成立和新成立的相关产业投资基金，不能作为母基</w:t>
      </w:r>
      <w:r>
        <w:rPr>
          <w:spacing w:val="-17"/>
        </w:rPr>
        <w:t>金，只能作为子基金，并须经基金管理委员会审定产业投资方向， 保障投资基金健康发展。</w:t>
      </w:r>
    </w:p>
    <w:p>
      <w:pPr>
        <w:pStyle w:val="3"/>
        <w:tabs>
          <w:tab w:val="left" w:pos="1313"/>
        </w:tabs>
        <w:spacing w:before="11"/>
        <w:ind w:left="34"/>
        <w:jc w:val="center"/>
        <w:rPr>
          <w:rFonts w:hint="eastAsia" w:ascii="黑体" w:eastAsia="黑体"/>
        </w:rPr>
      </w:pPr>
      <w:r>
        <w:rPr>
          <w:rFonts w:hint="eastAsia" w:ascii="黑体" w:eastAsia="黑体"/>
        </w:rPr>
        <w:t>第二章</w:t>
      </w:r>
      <w:r>
        <w:rPr>
          <w:rFonts w:hint="eastAsia" w:ascii="黑体" w:eastAsia="黑体"/>
        </w:rPr>
        <w:tab/>
      </w:r>
      <w:r>
        <w:rPr>
          <w:rFonts w:hint="eastAsia" w:ascii="黑体" w:eastAsia="黑体"/>
        </w:rPr>
        <w:t>管理体系及架构</w:t>
      </w:r>
    </w:p>
    <w:p>
      <w:pPr>
        <w:pStyle w:val="3"/>
        <w:spacing w:before="170" w:line="340" w:lineRule="auto"/>
        <w:ind w:right="430" w:firstLine="639"/>
        <w:jc w:val="both"/>
      </w:pPr>
      <w:r>
        <w:rPr>
          <w:rFonts w:hint="eastAsia" w:ascii="黑体" w:eastAsia="黑体"/>
          <w:spacing w:val="36"/>
        </w:rPr>
        <w:t xml:space="preserve">第七条 </w:t>
      </w:r>
      <w:r>
        <w:rPr>
          <w:spacing w:val="-4"/>
        </w:rPr>
        <w:t>引导基金管理架构包括基金管理委员会、投资咨询委员会和引导基金受托管理机构三个层次，按照基金管理办法各司其职、各负其责。</w:t>
      </w:r>
    </w:p>
    <w:p>
      <w:pPr>
        <w:pStyle w:val="3"/>
        <w:spacing w:line="338" w:lineRule="auto"/>
        <w:ind w:right="374" w:firstLine="627"/>
        <w:jc w:val="both"/>
      </w:pPr>
      <w:r>
        <w:rPr>
          <w:rFonts w:hint="eastAsia" w:ascii="黑体" w:eastAsia="黑体"/>
        </w:rPr>
        <w:t xml:space="preserve">第八条 </w:t>
      </w:r>
      <w:r>
        <w:t>基金管理委员会由市政府主要领导任主任，分管副市长任副主任，市金融办、市财政局、市发改委、市科技局、市工信局、市民政局、市环保局、市水利局、市农委、市商务局、市文广新局、市卫生计生委、市林业局、市国资委、市工商局、市体育局、市旅游局、市法制办、市科协等部门和省级以上开发</w:t>
      </w:r>
    </w:p>
    <w:p>
      <w:pPr>
        <w:spacing w:after="0" w:line="338" w:lineRule="auto"/>
        <w:jc w:val="both"/>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line="338" w:lineRule="auto"/>
        <w:ind w:right="430"/>
        <w:jc w:val="both"/>
      </w:pPr>
      <w:r>
        <w:rPr>
          <w:spacing w:val="-7"/>
        </w:rPr>
        <w:t>区管委会为成员，负责基金重大事项的决策和协调。管理委员会</w:t>
      </w:r>
      <w:r>
        <w:rPr>
          <w:spacing w:val="-6"/>
        </w:rPr>
        <w:t>办公室设在市金融办，市金融办负责人任办公室主任，负责引导基金决策机构的日常工作，牵头建立相关投资决策和沟通协调机制。</w:t>
      </w:r>
    </w:p>
    <w:p>
      <w:pPr>
        <w:pStyle w:val="3"/>
        <w:spacing w:before="9" w:line="338" w:lineRule="auto"/>
        <w:ind w:right="430" w:firstLine="639"/>
        <w:jc w:val="both"/>
      </w:pPr>
      <w:r>
        <w:rPr>
          <w:rFonts w:hint="eastAsia" w:ascii="黑体" w:eastAsia="黑体"/>
          <w:spacing w:val="36"/>
        </w:rPr>
        <w:t xml:space="preserve">第九条 </w:t>
      </w:r>
      <w:r>
        <w:rPr>
          <w:spacing w:val="-4"/>
        </w:rPr>
        <w:t>基金管理委员会设立投资咨询委员会，主要由市政府重大行政决策咨询委员会专家库中相应专家组成，负责对引导</w:t>
      </w:r>
      <w:r>
        <w:rPr>
          <w:spacing w:val="-5"/>
        </w:rPr>
        <w:t>基金投资的项目提出可行性建议，为基金管理委员会提供决策依据。</w:t>
      </w:r>
    </w:p>
    <w:p>
      <w:pPr>
        <w:pStyle w:val="3"/>
        <w:tabs>
          <w:tab w:val="left" w:pos="2444"/>
        </w:tabs>
        <w:spacing w:before="7" w:line="338" w:lineRule="auto"/>
        <w:ind w:right="272" w:firstLine="645"/>
      </w:pPr>
      <w:r>
        <w:rPr>
          <w:rFonts w:hint="eastAsia" w:ascii="黑体" w:eastAsia="黑体"/>
          <w:spacing w:val="10"/>
        </w:rPr>
        <w:t>第十</w:t>
      </w:r>
      <w:r>
        <w:rPr>
          <w:rFonts w:hint="eastAsia" w:ascii="黑体" w:eastAsia="黑体"/>
        </w:rPr>
        <w:t>条</w:t>
      </w:r>
      <w:r>
        <w:rPr>
          <w:rFonts w:hint="eastAsia" w:ascii="黑体" w:eastAsia="黑体"/>
        </w:rPr>
        <w:tab/>
      </w:r>
      <w:r>
        <w:rPr>
          <w:spacing w:val="9"/>
        </w:rPr>
        <w:t>经市政府批准设立吉林市产业投资引导基金有限</w:t>
      </w:r>
      <w:r>
        <w:t>公</w:t>
      </w:r>
      <w:r>
        <w:rPr>
          <w:spacing w:val="-20"/>
        </w:rPr>
        <w:t>司</w:t>
      </w:r>
      <w:r>
        <w:t>（以下简称引导基金公司</w:t>
      </w:r>
      <w:r>
        <w:rPr>
          <w:spacing w:val="-20"/>
        </w:rPr>
        <w:t>）</w:t>
      </w:r>
      <w:r>
        <w:t>作为引导基金受托管理机构</w:t>
      </w:r>
      <w:r>
        <w:rPr>
          <w:spacing w:val="-21"/>
        </w:rPr>
        <w:t>，</w:t>
      </w:r>
      <w:r>
        <w:t>根</w:t>
      </w:r>
      <w:r>
        <w:rPr>
          <w:spacing w:val="-72"/>
        </w:rPr>
        <w:t>据</w:t>
      </w:r>
      <w:r>
        <w:rPr>
          <w:spacing w:val="-1"/>
        </w:rPr>
        <w:t>《公司法</w:t>
      </w:r>
      <w:r>
        <w:rPr>
          <w:spacing w:val="-72"/>
        </w:rPr>
        <w:t>》</w:t>
      </w:r>
      <w:r>
        <w:rPr>
          <w:spacing w:val="-1"/>
        </w:rPr>
        <w:t>和市场化运作需</w:t>
      </w:r>
      <w:r>
        <w:t>要</w:t>
      </w:r>
      <w:r>
        <w:rPr>
          <w:spacing w:val="-74"/>
        </w:rPr>
        <w:t>，</w:t>
      </w:r>
      <w:r>
        <w:t>并按照基金管理委员会的要求， 负责引导基金的具体投资和管理运作等职能。</w:t>
      </w:r>
    </w:p>
    <w:p>
      <w:pPr>
        <w:pStyle w:val="3"/>
        <w:tabs>
          <w:tab w:val="left" w:pos="1313"/>
        </w:tabs>
        <w:spacing w:before="7"/>
        <w:ind w:left="33"/>
        <w:jc w:val="center"/>
        <w:rPr>
          <w:rFonts w:hint="eastAsia" w:ascii="黑体" w:eastAsia="黑体"/>
        </w:rPr>
      </w:pPr>
      <w:r>
        <w:rPr>
          <w:rFonts w:hint="eastAsia" w:ascii="黑体" w:eastAsia="黑体"/>
        </w:rPr>
        <w:t>第三章</w:t>
      </w:r>
      <w:r>
        <w:rPr>
          <w:rFonts w:hint="eastAsia" w:ascii="黑体" w:eastAsia="黑体"/>
        </w:rPr>
        <w:tab/>
      </w:r>
      <w:r>
        <w:rPr>
          <w:rFonts w:hint="eastAsia" w:ascii="黑体" w:eastAsia="黑体"/>
        </w:rPr>
        <w:t>职责分工</w:t>
      </w:r>
    </w:p>
    <w:p>
      <w:pPr>
        <w:pStyle w:val="3"/>
        <w:spacing w:before="171" w:line="338" w:lineRule="auto"/>
        <w:ind w:right="430" w:firstLine="639"/>
        <w:jc w:val="both"/>
      </w:pPr>
      <w:r>
        <w:rPr>
          <w:rFonts w:hint="eastAsia" w:ascii="黑体" w:eastAsia="黑体"/>
          <w:spacing w:val="29"/>
        </w:rPr>
        <w:t xml:space="preserve">第十一条 </w:t>
      </w:r>
      <w:r>
        <w:rPr>
          <w:spacing w:val="-6"/>
        </w:rPr>
        <w:t>基金管理委员会、基金管理委员会办公室、投资</w:t>
      </w:r>
      <w:r>
        <w:rPr>
          <w:spacing w:val="-5"/>
        </w:rPr>
        <w:t>咨询委员会和引导基金公司要明确职责，根据国家预算、金融和</w:t>
      </w:r>
      <w:r>
        <w:rPr>
          <w:spacing w:val="-4"/>
        </w:rPr>
        <w:t>财务等有关规定建立健全监督管理和内部控制制度，加强对基金运作与管理的监督及考核评价。</w:t>
      </w:r>
    </w:p>
    <w:p>
      <w:pPr>
        <w:pStyle w:val="3"/>
        <w:spacing w:before="7"/>
        <w:ind w:left="1107"/>
        <w:jc w:val="both"/>
      </w:pPr>
      <w:r>
        <w:rPr>
          <w:rFonts w:hint="eastAsia" w:ascii="黑体" w:eastAsia="黑体"/>
        </w:rPr>
        <w:t xml:space="preserve">第十二条 </w:t>
      </w:r>
      <w:r>
        <w:t>基金管理委员会主要职责：</w:t>
      </w:r>
    </w:p>
    <w:p>
      <w:pPr>
        <w:pStyle w:val="3"/>
        <w:spacing w:before="170" w:line="340" w:lineRule="auto"/>
        <w:ind w:right="432" w:firstLine="639"/>
      </w:pPr>
      <w:r>
        <w:rPr>
          <w:spacing w:val="-1"/>
        </w:rPr>
        <w:t>（一</w:t>
      </w:r>
      <w:r>
        <w:rPr>
          <w:spacing w:val="-57"/>
        </w:rPr>
        <w:t>）</w:t>
      </w:r>
      <w:r>
        <w:rPr>
          <w:spacing w:val="-1"/>
        </w:rPr>
        <w:t>负责根据国家的政策指导和市政府产业导向及相关规划，研究确定引导基金的投资原则和投资要求。</w:t>
      </w:r>
    </w:p>
    <w:p>
      <w:pPr>
        <w:pStyle w:val="3"/>
        <w:spacing w:line="406" w:lineRule="exact"/>
        <w:ind w:left="1107"/>
      </w:pPr>
      <w:r>
        <w:t>（二）审定引导基金的资金筹集及增资计划。</w:t>
      </w:r>
    </w:p>
    <w:p>
      <w:pPr>
        <w:pStyle w:val="3"/>
        <w:spacing w:before="169"/>
        <w:ind w:left="1107"/>
      </w:pPr>
      <w:r>
        <w:t>（三）统筹协调和监督管理子基金设立等重要事项决策工</w:t>
      </w:r>
    </w:p>
    <w:p>
      <w:pPr>
        <w:spacing w:after="0"/>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pPr>
      <w:r>
        <w:t>作。</w:t>
      </w:r>
    </w:p>
    <w:p>
      <w:pPr>
        <w:pStyle w:val="3"/>
        <w:spacing w:before="171"/>
        <w:ind w:left="1107"/>
      </w:pPr>
      <w:r>
        <w:t>（四）审议引导基金年度工作报告。</w:t>
      </w:r>
    </w:p>
    <w:p>
      <w:pPr>
        <w:pStyle w:val="3"/>
        <w:tabs>
          <w:tab w:val="left" w:pos="2707"/>
        </w:tabs>
        <w:spacing w:before="170"/>
        <w:ind w:left="1107"/>
      </w:pPr>
      <w:r>
        <w:rPr>
          <w:rFonts w:hint="eastAsia" w:ascii="黑体" w:eastAsia="黑体"/>
        </w:rPr>
        <w:t>第十三条</w:t>
      </w:r>
      <w:r>
        <w:rPr>
          <w:rFonts w:hint="eastAsia" w:ascii="黑体" w:eastAsia="黑体"/>
        </w:rPr>
        <w:tab/>
      </w:r>
      <w:r>
        <w:t>基金管理委员会成员主要职责：</w:t>
      </w:r>
    </w:p>
    <w:p>
      <w:pPr>
        <w:pStyle w:val="3"/>
        <w:spacing w:before="169" w:line="340" w:lineRule="auto"/>
        <w:ind w:right="367" w:firstLine="639"/>
      </w:pPr>
      <w:r>
        <w:t>（一）按照要求参加定期或不定期召开的工作会议，提出设立子基金意向。</w:t>
      </w:r>
    </w:p>
    <w:p>
      <w:pPr>
        <w:pStyle w:val="3"/>
        <w:spacing w:line="338" w:lineRule="auto"/>
        <w:ind w:right="367" w:firstLine="639"/>
      </w:pPr>
      <w:r>
        <w:t>（二）负责建立健全行业投资项目备选库，协调项目调研工作并提供行业指导。</w:t>
      </w:r>
    </w:p>
    <w:p>
      <w:pPr>
        <w:pStyle w:val="3"/>
        <w:spacing w:line="338" w:lineRule="auto"/>
        <w:ind w:right="367" w:firstLine="639"/>
      </w:pPr>
      <w:r>
        <w:t>（三）为参股子基金提供信息查询和对接服务，监督子基金投向。</w:t>
      </w:r>
    </w:p>
    <w:p>
      <w:pPr>
        <w:pStyle w:val="3"/>
        <w:spacing w:before="3" w:line="340" w:lineRule="auto"/>
        <w:ind w:right="432" w:firstLine="639"/>
      </w:pPr>
      <w:r>
        <w:rPr>
          <w:spacing w:val="-1"/>
        </w:rPr>
        <w:t>（四</w:t>
      </w:r>
      <w:r>
        <w:rPr>
          <w:spacing w:val="-57"/>
        </w:rPr>
        <w:t>）</w:t>
      </w:r>
      <w:r>
        <w:rPr>
          <w:spacing w:val="-1"/>
        </w:rPr>
        <w:t>参与引导基金管理办法的研究制定以及基金投资决策和考核评价工作。</w:t>
      </w:r>
    </w:p>
    <w:p>
      <w:pPr>
        <w:pStyle w:val="3"/>
        <w:spacing w:line="338" w:lineRule="auto"/>
        <w:ind w:right="367" w:firstLine="639"/>
      </w:pPr>
      <w:r>
        <w:t>（五）协助子基金投资我市的具体项目申报国家、省、市相关专项资金。</w:t>
      </w:r>
    </w:p>
    <w:p>
      <w:pPr>
        <w:pStyle w:val="3"/>
        <w:tabs>
          <w:tab w:val="left" w:pos="2707"/>
        </w:tabs>
        <w:spacing w:before="1"/>
        <w:ind w:left="1107"/>
      </w:pPr>
      <w:r>
        <w:rPr>
          <w:rFonts w:hint="eastAsia" w:ascii="黑体" w:eastAsia="黑体"/>
        </w:rPr>
        <w:t>第十四条</w:t>
      </w:r>
      <w:r>
        <w:rPr>
          <w:rFonts w:hint="eastAsia" w:ascii="黑体" w:eastAsia="黑体"/>
        </w:rPr>
        <w:tab/>
      </w:r>
      <w:r>
        <w:rPr>
          <w:spacing w:val="-1"/>
        </w:rPr>
        <w:t>基金管理委员会办公室主要职责：</w:t>
      </w:r>
    </w:p>
    <w:p>
      <w:pPr>
        <w:pStyle w:val="3"/>
        <w:spacing w:before="169"/>
        <w:ind w:left="1107"/>
      </w:pPr>
      <w:r>
        <w:rPr>
          <w:spacing w:val="-1"/>
        </w:rPr>
        <w:t>（一）负责基金管理委员会日常事务性工作。</w:t>
      </w:r>
    </w:p>
    <w:p>
      <w:pPr>
        <w:pStyle w:val="3"/>
        <w:spacing w:before="170" w:line="340" w:lineRule="auto"/>
        <w:ind w:right="432" w:firstLine="639"/>
      </w:pPr>
      <w:r>
        <w:rPr>
          <w:spacing w:val="-1"/>
        </w:rPr>
        <w:t>（二</w:t>
      </w:r>
      <w:r>
        <w:rPr>
          <w:spacing w:val="-57"/>
        </w:rPr>
        <w:t>）</w:t>
      </w:r>
      <w:r>
        <w:rPr>
          <w:spacing w:val="-1"/>
        </w:rPr>
        <w:t>贯彻落实基金管理委员会有关引导基金发展的重大决策。</w:t>
      </w:r>
    </w:p>
    <w:p>
      <w:pPr>
        <w:pStyle w:val="3"/>
        <w:spacing w:line="406" w:lineRule="exact"/>
        <w:ind w:left="1107"/>
      </w:pPr>
      <w:r>
        <w:t>（三）组织投资咨询委员会对投资项目进行可行性研究。</w:t>
      </w:r>
    </w:p>
    <w:p>
      <w:pPr>
        <w:pStyle w:val="3"/>
        <w:spacing w:before="169"/>
        <w:ind w:left="1107"/>
      </w:pPr>
      <w:r>
        <w:t>（四）协调解决引导基金运作管理中出现的问题。</w:t>
      </w:r>
    </w:p>
    <w:p>
      <w:pPr>
        <w:pStyle w:val="3"/>
        <w:tabs>
          <w:tab w:val="left" w:pos="2707"/>
        </w:tabs>
        <w:spacing w:before="171"/>
        <w:ind w:left="1107"/>
      </w:pPr>
      <w:r>
        <w:rPr>
          <w:rFonts w:hint="eastAsia" w:ascii="黑体" w:eastAsia="黑体"/>
        </w:rPr>
        <w:t>第十五条</w:t>
      </w:r>
      <w:r>
        <w:rPr>
          <w:rFonts w:hint="eastAsia" w:ascii="黑体" w:eastAsia="黑体"/>
        </w:rPr>
        <w:tab/>
      </w:r>
      <w:r>
        <w:t>投资咨询委员会主要职责：</w:t>
      </w:r>
    </w:p>
    <w:p>
      <w:pPr>
        <w:pStyle w:val="3"/>
        <w:spacing w:before="170" w:line="338" w:lineRule="auto"/>
        <w:ind w:right="367" w:firstLine="639"/>
      </w:pPr>
      <w:r>
        <w:t>根据引导基金投资项目情况，从其所属专业领域角度对投资项目的合法性、可行性、经济社会效益、执行条件等方面进行分</w:t>
      </w:r>
    </w:p>
    <w:p>
      <w:pPr>
        <w:spacing w:after="0" w:line="338" w:lineRule="auto"/>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pPr>
      <w:r>
        <w:t>析论证，并提出合理化建议，为基金管理委员会决策提供参考。</w:t>
      </w:r>
    </w:p>
    <w:p>
      <w:pPr>
        <w:pStyle w:val="3"/>
        <w:tabs>
          <w:tab w:val="left" w:pos="2706"/>
        </w:tabs>
        <w:spacing w:before="171"/>
        <w:ind w:left="1107"/>
      </w:pPr>
      <w:r>
        <w:rPr>
          <w:rFonts w:hint="eastAsia" w:ascii="黑体" w:eastAsia="黑体"/>
        </w:rPr>
        <w:t>第十六条</w:t>
      </w:r>
      <w:r>
        <w:rPr>
          <w:rFonts w:hint="eastAsia" w:ascii="黑体" w:eastAsia="黑体"/>
        </w:rPr>
        <w:tab/>
      </w:r>
      <w:r>
        <w:t>引导基金公司主要职责：</w:t>
      </w:r>
    </w:p>
    <w:p>
      <w:pPr>
        <w:pStyle w:val="3"/>
        <w:spacing w:before="170"/>
        <w:ind w:left="1107"/>
      </w:pPr>
      <w:r>
        <w:t>（一）执行基金管理委员会相关决策。</w:t>
      </w:r>
    </w:p>
    <w:p>
      <w:pPr>
        <w:pStyle w:val="3"/>
        <w:spacing w:before="169" w:line="340" w:lineRule="auto"/>
        <w:ind w:right="367" w:firstLine="639"/>
      </w:pPr>
      <w:r>
        <w:t>（二）具体实施经基金管理委员会批准的投资方案，对合作方进行尽职调查。</w:t>
      </w:r>
    </w:p>
    <w:p>
      <w:pPr>
        <w:pStyle w:val="3"/>
        <w:spacing w:line="340" w:lineRule="auto"/>
        <w:ind w:right="431" w:firstLine="639"/>
        <w:jc w:val="both"/>
      </w:pPr>
      <w:r>
        <w:rPr>
          <w:spacing w:val="-1"/>
        </w:rPr>
        <w:t>（三</w:t>
      </w:r>
      <w:r>
        <w:rPr>
          <w:spacing w:val="-21"/>
        </w:rPr>
        <w:t>）</w:t>
      </w:r>
      <w:r>
        <w:rPr>
          <w:spacing w:val="-7"/>
        </w:rPr>
        <w:t>按《公司法》规定代表引导基金以出资额为限行使出</w:t>
      </w:r>
      <w:r>
        <w:rPr>
          <w:spacing w:val="-5"/>
        </w:rPr>
        <w:t>资人权利并承担义务，向子基金或直投项目派出资人代表，参与其重大决策并监督其投资方向，定期做出绩效评价</w:t>
      </w:r>
    </w:p>
    <w:p>
      <w:pPr>
        <w:pStyle w:val="3"/>
        <w:spacing w:line="338" w:lineRule="auto"/>
        <w:ind w:right="367" w:firstLine="639"/>
      </w:pPr>
      <w:r>
        <w:t>（四）做好与国家、省、市有关部门设立的基金对接、配套入股、投资合作等事项。</w:t>
      </w:r>
    </w:p>
    <w:p>
      <w:pPr>
        <w:pStyle w:val="3"/>
        <w:spacing w:line="338" w:lineRule="auto"/>
        <w:ind w:right="694" w:firstLine="639"/>
      </w:pPr>
      <w:r>
        <w:t>（五）定期向基金管理委员会办公室报送引导基金运作情况。</w:t>
      </w:r>
    </w:p>
    <w:p>
      <w:pPr>
        <w:pStyle w:val="3"/>
        <w:ind w:left="1107"/>
      </w:pPr>
      <w:r>
        <w:t>（六）做好基金管理委员会交办的其他事项。</w:t>
      </w:r>
    </w:p>
    <w:p>
      <w:pPr>
        <w:pStyle w:val="3"/>
        <w:tabs>
          <w:tab w:val="left" w:pos="1313"/>
        </w:tabs>
        <w:spacing w:before="168"/>
        <w:ind w:left="34"/>
        <w:jc w:val="center"/>
        <w:rPr>
          <w:rFonts w:hint="eastAsia" w:ascii="黑体" w:eastAsia="黑体"/>
        </w:rPr>
      </w:pPr>
      <w:r>
        <w:rPr>
          <w:rFonts w:hint="eastAsia" w:ascii="黑体" w:eastAsia="黑体"/>
        </w:rPr>
        <w:t>第四章</w:t>
      </w:r>
      <w:r>
        <w:rPr>
          <w:rFonts w:hint="eastAsia" w:ascii="黑体" w:eastAsia="黑体"/>
        </w:rPr>
        <w:tab/>
      </w:r>
      <w:r>
        <w:rPr>
          <w:rFonts w:hint="eastAsia" w:ascii="黑体" w:eastAsia="黑体"/>
        </w:rPr>
        <w:t>投资原则和要求</w:t>
      </w:r>
    </w:p>
    <w:p>
      <w:pPr>
        <w:pStyle w:val="3"/>
        <w:spacing w:before="169" w:line="338" w:lineRule="auto"/>
        <w:ind w:right="427" w:firstLine="637"/>
        <w:jc w:val="both"/>
      </w:pPr>
      <w:r>
        <w:rPr>
          <w:rFonts w:hint="eastAsia" w:ascii="黑体" w:hAnsi="黑体" w:eastAsia="黑体"/>
          <w:spacing w:val="13"/>
        </w:rPr>
        <w:t xml:space="preserve">第十七条 </w:t>
      </w:r>
      <w:r>
        <w:rPr>
          <w:spacing w:val="8"/>
        </w:rPr>
        <w:t>引导基金投资项目应符合国家和相关产业政策</w:t>
      </w:r>
      <w:r>
        <w:rPr>
          <w:spacing w:val="-3"/>
        </w:rPr>
        <w:t>及发展规划，重点投向吉林市“</w:t>
      </w:r>
      <w:r>
        <w:rPr>
          <w:spacing w:val="-4"/>
        </w:rPr>
        <w:t>6411”产业规划中旅游、医药健</w:t>
      </w:r>
      <w:r>
        <w:rPr>
          <w:spacing w:val="-10"/>
        </w:rPr>
        <w:t>康、航空、信息技术、新材料、先进装备制造、生物技术、节能</w:t>
      </w:r>
      <w:r>
        <w:rPr>
          <w:spacing w:val="3"/>
        </w:rPr>
        <w:t xml:space="preserve">环保、新能源、文化创意、现代农业、现代服务业等相关产业, </w:t>
      </w:r>
      <w:r>
        <w:t>以及市政府重点扶持发展的其它领域。</w:t>
      </w:r>
    </w:p>
    <w:p>
      <w:pPr>
        <w:pStyle w:val="3"/>
        <w:tabs>
          <w:tab w:val="left" w:pos="2707"/>
        </w:tabs>
        <w:spacing w:before="10"/>
        <w:ind w:left="1107"/>
      </w:pPr>
      <w:r>
        <w:rPr>
          <w:rFonts w:hint="eastAsia" w:ascii="黑体" w:eastAsia="黑体"/>
        </w:rPr>
        <w:t>第十八条</w:t>
      </w:r>
      <w:r>
        <w:rPr>
          <w:rFonts w:hint="eastAsia" w:ascii="黑体" w:eastAsia="黑体"/>
        </w:rPr>
        <w:tab/>
      </w:r>
      <w:r>
        <w:rPr>
          <w:spacing w:val="-1"/>
        </w:rPr>
        <w:t>引导基金不得从事以下业务：</w:t>
      </w:r>
    </w:p>
    <w:p>
      <w:pPr>
        <w:pStyle w:val="3"/>
        <w:spacing w:before="170" w:line="338" w:lineRule="auto"/>
        <w:ind w:right="431" w:firstLine="639"/>
      </w:pPr>
      <w:r>
        <w:rPr>
          <w:spacing w:val="-1"/>
        </w:rPr>
        <w:t>（</w:t>
      </w:r>
      <w:r>
        <w:t>一</w:t>
      </w:r>
      <w:r>
        <w:rPr>
          <w:spacing w:val="-14"/>
        </w:rPr>
        <w:t>）</w:t>
      </w:r>
      <w:r>
        <w:rPr>
          <w:spacing w:val="-3"/>
        </w:rPr>
        <w:t>不得投资股票</w:t>
      </w:r>
      <w:r>
        <w:t>（上市公司增发除外</w:t>
      </w:r>
      <w:r>
        <w:rPr>
          <w:spacing w:val="-13"/>
        </w:rPr>
        <w:t>）</w:t>
      </w:r>
      <w:r>
        <w:rPr>
          <w:spacing w:val="-5"/>
        </w:rPr>
        <w:t>、期货、企业债券、信托产品、保险计划及其他金融衍生品。</w:t>
      </w:r>
    </w:p>
    <w:p>
      <w:pPr>
        <w:spacing w:after="0" w:line="338" w:lineRule="auto"/>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line="340" w:lineRule="auto"/>
        <w:ind w:right="430" w:firstLine="639"/>
      </w:pPr>
      <w:r>
        <w:rPr>
          <w:spacing w:val="-1"/>
        </w:rPr>
        <w:t>（</w:t>
      </w:r>
      <w:r>
        <w:t>二</w:t>
      </w:r>
      <w:r>
        <w:rPr>
          <w:spacing w:val="-11"/>
        </w:rPr>
        <w:t>）</w:t>
      </w:r>
      <w:r>
        <w:rPr>
          <w:spacing w:val="-2"/>
        </w:rPr>
        <w:t>不得从事担保</w:t>
      </w:r>
      <w:r>
        <w:t>（融资担保除外</w:t>
      </w:r>
      <w:r>
        <w:rPr>
          <w:spacing w:val="-10"/>
        </w:rPr>
        <w:t>）</w:t>
      </w:r>
      <w:r>
        <w:rPr>
          <w:spacing w:val="-6"/>
        </w:rPr>
        <w:t>、抵押、房地产</w:t>
      </w:r>
      <w:r>
        <w:t>（包括购买自用房地产）、委托贷款等业务。</w:t>
      </w:r>
    </w:p>
    <w:p>
      <w:pPr>
        <w:pStyle w:val="3"/>
        <w:spacing w:line="406" w:lineRule="exact"/>
        <w:ind w:left="1107"/>
      </w:pPr>
      <w:r>
        <w:rPr>
          <w:spacing w:val="-1"/>
        </w:rPr>
        <w:t>（三）不得用于赞助、捐赠等支出。</w:t>
      </w:r>
    </w:p>
    <w:p>
      <w:pPr>
        <w:pStyle w:val="3"/>
        <w:spacing w:before="170" w:line="340" w:lineRule="auto"/>
        <w:ind w:right="367" w:firstLine="639"/>
      </w:pPr>
      <w:r>
        <w:t>（四）不得吸收或变相吸收存款，或向任何第三人提供贷款和资金拆借。</w:t>
      </w:r>
    </w:p>
    <w:p>
      <w:pPr>
        <w:pStyle w:val="3"/>
        <w:spacing w:line="406" w:lineRule="exact"/>
        <w:ind w:left="1107"/>
      </w:pPr>
      <w:r>
        <w:t>（五）不得进行承担无限连带责任的对外投资。</w:t>
      </w:r>
    </w:p>
    <w:p>
      <w:pPr>
        <w:pStyle w:val="3"/>
        <w:spacing w:before="169"/>
        <w:ind w:left="1107"/>
      </w:pPr>
      <w:r>
        <w:t>（六）不得用于其他国家法律法规禁止从事的业务。</w:t>
      </w:r>
    </w:p>
    <w:p>
      <w:pPr>
        <w:pStyle w:val="3"/>
        <w:spacing w:before="171" w:line="338" w:lineRule="auto"/>
        <w:ind w:right="373" w:firstLine="639"/>
        <w:jc w:val="both"/>
      </w:pPr>
      <w:r>
        <w:rPr>
          <w:rFonts w:hint="eastAsia" w:ascii="黑体" w:eastAsia="黑体"/>
        </w:rPr>
        <w:t xml:space="preserve">第十九条 </w:t>
      </w:r>
      <w:r>
        <w:t>引导基金主要采取参股设立子基金的投资方式， 根据实际需要也可采取跟进投资、直接投资等方式。</w:t>
      </w:r>
    </w:p>
    <w:p>
      <w:pPr>
        <w:pStyle w:val="3"/>
        <w:spacing w:before="3" w:line="340" w:lineRule="auto"/>
        <w:ind w:right="430" w:firstLine="639"/>
        <w:jc w:val="both"/>
      </w:pPr>
      <w:r>
        <w:rPr>
          <w:rFonts w:hint="eastAsia" w:ascii="黑体" w:eastAsia="黑体"/>
          <w:spacing w:val="29"/>
        </w:rPr>
        <w:t xml:space="preserve">第二十条 </w:t>
      </w:r>
      <w:r>
        <w:rPr>
          <w:spacing w:val="-4"/>
        </w:rPr>
        <w:t>参股投资是指引导基金通过参股方式，吸引社会</w:t>
      </w:r>
      <w:r>
        <w:rPr>
          <w:spacing w:val="-5"/>
        </w:rPr>
        <w:t>资本共同在我市发起设立产业投资基金，或通过出资参与现有产业投资基金的一种运作方式。</w:t>
      </w:r>
    </w:p>
    <w:p>
      <w:pPr>
        <w:pStyle w:val="3"/>
        <w:spacing w:line="338" w:lineRule="auto"/>
        <w:ind w:right="423" w:firstLine="639"/>
        <w:jc w:val="both"/>
      </w:pPr>
      <w:r>
        <w:rPr>
          <w:rFonts w:hint="eastAsia" w:ascii="黑体" w:eastAsia="黑体"/>
          <w:spacing w:val="13"/>
        </w:rPr>
        <w:t xml:space="preserve">第二十一条 </w:t>
      </w:r>
      <w:r>
        <w:rPr>
          <w:spacing w:val="9"/>
        </w:rPr>
        <w:t>引导基金在子基金中的投资比例原则上不超</w:t>
      </w:r>
      <w:r>
        <w:rPr>
          <w:spacing w:val="-1"/>
          <w:w w:val="100"/>
        </w:rPr>
        <w:t>过子基金注册资本或实际出资额的</w:t>
      </w:r>
      <w:r>
        <w:rPr>
          <w:spacing w:val="-80"/>
        </w:rPr>
        <w:t xml:space="preserve"> </w:t>
      </w:r>
      <w:r>
        <w:rPr>
          <w:spacing w:val="-2"/>
          <w:w w:val="100"/>
        </w:rPr>
        <w:t>3</w:t>
      </w:r>
      <w:r>
        <w:rPr>
          <w:spacing w:val="-1"/>
          <w:w w:val="100"/>
        </w:rPr>
        <w:t>0％</w:t>
      </w:r>
      <w:r>
        <w:rPr>
          <w:spacing w:val="-16"/>
          <w:w w:val="100"/>
        </w:rPr>
        <w:t>，且不成为子基金的第一</w:t>
      </w:r>
      <w:r>
        <w:rPr>
          <w:spacing w:val="-12"/>
        </w:rPr>
        <w:t>大股东；子基金的其余资金应依法募集，境外出资人应符合国家相关规定。</w:t>
      </w:r>
    </w:p>
    <w:p>
      <w:pPr>
        <w:pStyle w:val="3"/>
        <w:spacing w:before="2" w:line="340" w:lineRule="auto"/>
        <w:ind w:right="429" w:firstLine="639"/>
        <w:jc w:val="both"/>
      </w:pPr>
      <w:r>
        <w:rPr>
          <w:rFonts w:hint="eastAsia" w:ascii="黑体" w:hAnsi="黑体" w:eastAsia="黑体"/>
          <w:spacing w:val="25"/>
        </w:rPr>
        <w:t xml:space="preserve">第二十二条 </w:t>
      </w:r>
      <w:r>
        <w:rPr>
          <w:spacing w:val="-2"/>
        </w:rPr>
        <w:t>子基金原则上应重点投向与吉林市</w:t>
      </w:r>
      <w:r>
        <w:rPr>
          <w:spacing w:val="-6"/>
        </w:rPr>
        <w:t>“6411</w:t>
      </w:r>
      <w:r>
        <w:rPr>
          <w:spacing w:val="-3"/>
        </w:rPr>
        <w:t>”产</w:t>
      </w:r>
      <w:r>
        <w:rPr>
          <w:spacing w:val="-6"/>
        </w:rPr>
        <w:t>业发展战略相关的领域，子基金存续期内，投资于吉林市注册的</w:t>
      </w:r>
      <w:r>
        <w:rPr>
          <w:spacing w:val="3"/>
        </w:rPr>
        <w:t>企业的资金总额原则上不低于子基金总额</w:t>
      </w:r>
      <w:r>
        <w:t>的</w:t>
      </w:r>
      <w:r>
        <w:rPr>
          <w:spacing w:val="12"/>
        </w:rPr>
        <w:t xml:space="preserve"> </w:t>
      </w:r>
      <w:r>
        <w:rPr>
          <w:spacing w:val="4"/>
        </w:rPr>
        <w:t>50</w:t>
      </w:r>
      <w:r>
        <w:rPr>
          <w:spacing w:val="9"/>
          <w:w w:val="100"/>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spacing w:val="3"/>
        </w:rPr>
        <w:t>;对单一企业股</w:t>
      </w:r>
    </w:p>
    <w:p>
      <w:pPr>
        <w:pStyle w:val="3"/>
        <w:spacing w:line="343" w:lineRule="auto"/>
        <w:ind w:right="430"/>
        <w:jc w:val="both"/>
      </w:pPr>
      <w:r>
        <w:rPr>
          <w:position w:val="1"/>
        </w:rPr>
        <w:t>权投资不超过被投企业总股本的</w:t>
      </w:r>
      <w:r>
        <w:rPr>
          <w:spacing w:val="-64"/>
          <w:position w:val="1"/>
        </w:rPr>
        <w:t xml:space="preserve"> </w:t>
      </w:r>
      <w:r>
        <w:rPr>
          <w:spacing w:val="4"/>
          <w:position w:val="1"/>
        </w:rPr>
        <w:t>30</w:t>
      </w:r>
      <w:r>
        <w:rPr>
          <w:spacing w:val="9"/>
          <w:w w:val="100"/>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position w:val="1"/>
        </w:rPr>
        <w:t>，该比例根据实际情况经基</w:t>
      </w:r>
      <w:r>
        <w:t>金管理委员会审议后可适当调整。</w:t>
      </w:r>
    </w:p>
    <w:p>
      <w:pPr>
        <w:pStyle w:val="3"/>
        <w:spacing w:line="402" w:lineRule="exact"/>
        <w:ind w:left="1107"/>
        <w:jc w:val="both"/>
      </w:pPr>
      <w:r>
        <w:rPr>
          <w:rFonts w:hint="eastAsia" w:ascii="黑体" w:eastAsia="黑体"/>
        </w:rPr>
        <w:t xml:space="preserve">第二十三条 </w:t>
      </w:r>
      <w:r>
        <w:t>引导基金合作设立的子基金应公开选聘专业</w:t>
      </w:r>
    </w:p>
    <w:p>
      <w:pPr>
        <w:spacing w:after="0" w:line="402" w:lineRule="exact"/>
        <w:jc w:val="both"/>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pPr>
      <w:r>
        <w:t>的基金管理机构，基本条件如下：</w:t>
      </w:r>
    </w:p>
    <w:p>
      <w:pPr>
        <w:pStyle w:val="3"/>
        <w:spacing w:before="171" w:line="338" w:lineRule="auto"/>
        <w:ind w:right="367" w:firstLine="639"/>
      </w:pPr>
      <w:r>
        <w:t>（一）具有国家规定的基金管理资质，管理团队稳定，专业性强，具有良好的职业操守和信誉。</w:t>
      </w:r>
    </w:p>
    <w:p>
      <w:pPr>
        <w:pStyle w:val="3"/>
        <w:spacing w:before="3" w:line="340" w:lineRule="auto"/>
        <w:ind w:right="367" w:firstLine="639"/>
      </w:pPr>
      <w:r>
        <w:t>（二）具备严格合理的投资决策程序、风险控制机制以及健全的财务管理制度。</w:t>
      </w:r>
    </w:p>
    <w:p>
      <w:pPr>
        <w:pStyle w:val="3"/>
        <w:spacing w:line="406" w:lineRule="exact"/>
        <w:ind w:left="1107"/>
      </w:pPr>
      <w:r>
        <w:t>（三</w:t>
      </w:r>
      <w:r>
        <w:rPr>
          <w:spacing w:val="-161"/>
        </w:rPr>
        <w:t>）</w:t>
      </w:r>
      <w:r>
        <w:rPr>
          <w:spacing w:val="3"/>
        </w:rPr>
        <w:t>原则上股权投资的经营管理规模不低于</w:t>
      </w:r>
      <w:r>
        <w:t>2</w:t>
      </w:r>
      <w:r>
        <w:rPr>
          <w:spacing w:val="-18"/>
        </w:rPr>
        <w:t xml:space="preserve"> 亿元人民币，</w:t>
      </w:r>
    </w:p>
    <w:p>
      <w:pPr>
        <w:pStyle w:val="3"/>
        <w:spacing w:before="170"/>
      </w:pPr>
      <w:r>
        <w:t>注册资本不低于 500 万元人民币。</w:t>
      </w:r>
    </w:p>
    <w:p>
      <w:pPr>
        <w:pStyle w:val="3"/>
        <w:spacing w:before="170" w:line="338" w:lineRule="auto"/>
        <w:ind w:right="429" w:firstLine="639"/>
        <w:jc w:val="both"/>
      </w:pPr>
      <w:r>
        <w:t>（四</w:t>
      </w:r>
      <w:r>
        <w:rPr>
          <w:spacing w:val="-57"/>
        </w:rPr>
        <w:t>）</w:t>
      </w:r>
      <w:r>
        <w:rPr>
          <w:spacing w:val="-21"/>
        </w:rPr>
        <w:t xml:space="preserve">至少有 </w:t>
      </w:r>
      <w:r>
        <w:t>3</w:t>
      </w:r>
      <w:r>
        <w:rPr>
          <w:spacing w:val="-35"/>
        </w:rPr>
        <w:t xml:space="preserve"> 名具备 </w:t>
      </w:r>
      <w:r>
        <w:t>3</w:t>
      </w:r>
      <w:r>
        <w:rPr>
          <w:spacing w:val="-10"/>
        </w:rPr>
        <w:t xml:space="preserve"> 年以上的股权投资管理工作经验的</w:t>
      </w:r>
      <w:r>
        <w:rPr>
          <w:spacing w:val="-9"/>
        </w:rPr>
        <w:t>高级管理人员，主要成员无行政主管机关或司法机关处罚的不良记录。</w:t>
      </w:r>
    </w:p>
    <w:p>
      <w:pPr>
        <w:pStyle w:val="3"/>
        <w:spacing w:before="6" w:line="338" w:lineRule="auto"/>
        <w:ind w:right="367" w:firstLine="639"/>
      </w:pPr>
      <w:r>
        <w:t>（五）有较强的资金募集能力，可以在规定期限内完成社会资金的募集。</w:t>
      </w:r>
    </w:p>
    <w:p>
      <w:pPr>
        <w:pStyle w:val="3"/>
        <w:spacing w:before="3" w:line="336" w:lineRule="auto"/>
        <w:ind w:right="431" w:firstLine="639"/>
      </w:pPr>
      <w:r>
        <w:rPr>
          <w:spacing w:val="-1"/>
        </w:rPr>
        <w:t>（六</w:t>
      </w:r>
      <w:r>
        <w:rPr>
          <w:spacing w:val="-30"/>
        </w:rPr>
        <w:t>）</w:t>
      </w:r>
      <w:r>
        <w:rPr>
          <w:spacing w:val="-3"/>
        </w:rPr>
        <w:t>参股子基金或认缴子基金份额，且实缴出资额原则上</w:t>
      </w:r>
      <w:r>
        <w:rPr>
          <w:spacing w:val="-3"/>
          <w:position w:val="1"/>
        </w:rPr>
        <w:t>不低于子基金总额的</w:t>
      </w:r>
      <w:r>
        <w:rPr>
          <w:spacing w:val="-77"/>
          <w:position w:val="1"/>
        </w:rPr>
        <w:t xml:space="preserve"> </w:t>
      </w:r>
      <w:r>
        <w:rPr>
          <w:spacing w:val="8"/>
          <w:position w:val="1"/>
        </w:rPr>
        <w:t>2</w:t>
      </w:r>
      <w:r>
        <w:rPr>
          <w:spacing w:val="8"/>
          <w:w w:val="100"/>
        </w:rPr>
        <w:drawing>
          <wp:inline distT="0" distB="0" distL="0" distR="0">
            <wp:extent cx="85090" cy="1549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position w:val="1"/>
        </w:rPr>
        <w:t>。</w:t>
      </w:r>
    </w:p>
    <w:p>
      <w:pPr>
        <w:pStyle w:val="3"/>
        <w:spacing w:before="12"/>
        <w:ind w:left="1107"/>
      </w:pPr>
      <w:r>
        <w:t>（七）有固定的营业场所和与其业务相适应的软硬件设施。</w:t>
      </w:r>
    </w:p>
    <w:p>
      <w:pPr>
        <w:pStyle w:val="3"/>
        <w:spacing w:before="170" w:line="340" w:lineRule="auto"/>
        <w:ind w:right="422" w:firstLine="639"/>
        <w:jc w:val="both"/>
      </w:pPr>
      <w:r>
        <w:rPr>
          <w:rFonts w:hint="eastAsia" w:ascii="黑体" w:eastAsia="黑体"/>
          <w:spacing w:val="13"/>
        </w:rPr>
        <w:t xml:space="preserve">第二十四条 </w:t>
      </w:r>
      <w:r>
        <w:rPr>
          <w:spacing w:val="9"/>
        </w:rPr>
        <w:t>跟进投资是指当子基金投资于政府重点扶持</w:t>
      </w:r>
      <w:r>
        <w:rPr>
          <w:spacing w:val="-4"/>
        </w:rPr>
        <w:t>或鼓励的特定产业企业或创业早期企业时，引导基金可以按适当</w:t>
      </w:r>
      <w:r>
        <w:rPr>
          <w:spacing w:val="-6"/>
        </w:rPr>
        <w:t>股权比例向该企业跟进投资。跟进投资一般不超过子基金对该企业实际投资额的</w:t>
      </w:r>
      <w:r>
        <w:rPr>
          <w:spacing w:val="-83"/>
        </w:rPr>
        <w:t xml:space="preserve"> </w:t>
      </w:r>
      <w:r>
        <w:rPr>
          <w:spacing w:val="4"/>
        </w:rPr>
        <w:t>50</w:t>
      </w:r>
      <w:r>
        <w:rPr>
          <w:spacing w:val="9"/>
          <w:w w:val="100"/>
        </w:rPr>
        <w:drawing>
          <wp:inline distT="0" distB="0" distL="0" distR="0">
            <wp:extent cx="85090" cy="1549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t>。</w:t>
      </w:r>
    </w:p>
    <w:p>
      <w:pPr>
        <w:pStyle w:val="3"/>
        <w:spacing w:line="340" w:lineRule="auto"/>
        <w:ind w:right="270" w:firstLine="639"/>
        <w:jc w:val="both"/>
      </w:pPr>
      <w:r>
        <w:rPr>
          <w:rFonts w:hint="eastAsia" w:ascii="黑体" w:eastAsia="黑体"/>
          <w:spacing w:val="10"/>
        </w:rPr>
        <w:t xml:space="preserve">第二十五条  </w:t>
      </w:r>
      <w:r>
        <w:rPr>
          <w:spacing w:val="10"/>
        </w:rPr>
        <w:t>直接投资是指引导基金可以直接对符合我市</w:t>
      </w:r>
      <w:r>
        <w:rPr>
          <w:spacing w:val="-4"/>
        </w:rPr>
        <w:t>产业政策导向的项目进行股权投资。直接投资参股额度不超过被投企业总股本的</w:t>
      </w:r>
      <w:r>
        <w:rPr>
          <w:spacing w:val="-83"/>
        </w:rPr>
        <w:t xml:space="preserve"> </w:t>
      </w:r>
      <w:r>
        <w:rPr>
          <w:spacing w:val="4"/>
        </w:rPr>
        <w:t>30</w:t>
      </w:r>
      <w:r>
        <w:rPr>
          <w:spacing w:val="9"/>
          <w:w w:val="100"/>
        </w:rPr>
        <w:drawing>
          <wp:inline distT="0" distB="0" distL="0" distR="0">
            <wp:extent cx="85090" cy="1549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spacing w:val="-69"/>
        </w:rPr>
        <w:t>，</w:t>
      </w:r>
      <w:r>
        <w:t>且原则上不投资于公益性</w:t>
      </w:r>
      <w:r>
        <w:rPr>
          <w:spacing w:val="-69"/>
        </w:rPr>
        <w:t>、</w:t>
      </w:r>
      <w:r>
        <w:t>基础设施项目，</w:t>
      </w:r>
    </w:p>
    <w:p>
      <w:pPr>
        <w:spacing w:after="0" w:line="340" w:lineRule="auto"/>
        <w:jc w:val="both"/>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pPr>
      <w:r>
        <w:t>特殊情况须经基金管理委员会批准。</w:t>
      </w:r>
    </w:p>
    <w:p>
      <w:pPr>
        <w:pStyle w:val="3"/>
        <w:tabs>
          <w:tab w:val="left" w:pos="1314"/>
        </w:tabs>
        <w:spacing w:before="171"/>
        <w:ind w:left="34"/>
        <w:jc w:val="center"/>
        <w:rPr>
          <w:rFonts w:hint="eastAsia" w:ascii="黑体" w:eastAsia="黑体"/>
        </w:rPr>
      </w:pPr>
      <w:r>
        <w:rPr>
          <w:rFonts w:hint="eastAsia" w:ascii="黑体" w:eastAsia="黑体"/>
        </w:rPr>
        <w:t>第五章</w:t>
      </w:r>
      <w:r>
        <w:rPr>
          <w:rFonts w:hint="eastAsia" w:ascii="黑体" w:eastAsia="黑体"/>
        </w:rPr>
        <w:tab/>
      </w:r>
      <w:r>
        <w:rPr>
          <w:rFonts w:hint="eastAsia" w:ascii="黑体" w:eastAsia="黑体"/>
        </w:rPr>
        <w:t>投资管理程序</w:t>
      </w:r>
    </w:p>
    <w:p>
      <w:pPr>
        <w:pStyle w:val="3"/>
        <w:spacing w:before="170" w:line="338" w:lineRule="auto"/>
        <w:ind w:right="429" w:firstLine="639"/>
        <w:jc w:val="both"/>
      </w:pPr>
      <w:r>
        <w:rPr>
          <w:rFonts w:hint="eastAsia" w:ascii="黑体" w:eastAsia="黑体"/>
          <w:spacing w:val="24"/>
        </w:rPr>
        <w:t xml:space="preserve">第二十六条 </w:t>
      </w:r>
      <w:r>
        <w:rPr>
          <w:spacing w:val="-4"/>
        </w:rPr>
        <w:t>引导基金公司负责发布征集公告，公开征集子</w:t>
      </w:r>
      <w:r>
        <w:rPr>
          <w:spacing w:val="-6"/>
        </w:rPr>
        <w:t>基金管理人及子基金募集方案，对子基金管理人进行尽职调查及</w:t>
      </w:r>
      <w:r>
        <w:rPr>
          <w:spacing w:val="-8"/>
        </w:rPr>
        <w:t>评审，提出初审意见提交基金管理委员会办公室，由基金管理委</w:t>
      </w:r>
      <w:r>
        <w:rPr>
          <w:spacing w:val="-4"/>
        </w:rPr>
        <w:t>员会办公室组织投资咨询委员会进行评估，报基金管理委员会审</w:t>
      </w:r>
      <w:r>
        <w:rPr>
          <w:spacing w:val="-7"/>
        </w:rPr>
        <w:t xml:space="preserve">批，并在政府门户网站公示不少于 </w:t>
      </w:r>
      <w:r>
        <w:t>10</w:t>
      </w:r>
      <w:r>
        <w:rPr>
          <w:spacing w:val="-6"/>
        </w:rPr>
        <w:t xml:space="preserve"> 个工作日，经公示无异议</w:t>
      </w:r>
      <w:r>
        <w:rPr>
          <w:spacing w:val="-8"/>
        </w:rPr>
        <w:t>的项目，由引导基金公司拟定章程或合作协议，在正式签署后实施具体投资运作。</w:t>
      </w:r>
    </w:p>
    <w:p>
      <w:pPr>
        <w:pStyle w:val="3"/>
        <w:spacing w:before="12" w:line="338" w:lineRule="auto"/>
        <w:ind w:right="374" w:firstLine="639"/>
        <w:jc w:val="both"/>
      </w:pPr>
      <w:r>
        <w:rPr>
          <w:rFonts w:hint="eastAsia" w:ascii="黑体" w:eastAsia="黑体"/>
          <w:spacing w:val="24"/>
        </w:rPr>
        <w:t xml:space="preserve">第二十七条 </w:t>
      </w:r>
      <w:r>
        <w:rPr>
          <w:spacing w:val="-5"/>
        </w:rPr>
        <w:t>引导基金合作设立的子基金，出资资金可一次</w:t>
      </w:r>
      <w:r>
        <w:rPr>
          <w:spacing w:val="-1"/>
        </w:rPr>
        <w:t xml:space="preserve">或分期到位，并在公司章程或合作协议中载明。分期到位资金， </w:t>
      </w:r>
      <w:r>
        <w:rPr>
          <w:spacing w:val="-1"/>
          <w:position w:val="1"/>
        </w:rPr>
        <w:t>首期应不少于出资总额的</w:t>
      </w:r>
      <w:r>
        <w:rPr>
          <w:spacing w:val="-86"/>
          <w:position w:val="1"/>
        </w:rPr>
        <w:t xml:space="preserve"> </w:t>
      </w:r>
      <w:r>
        <w:rPr>
          <w:spacing w:val="4"/>
          <w:position w:val="1"/>
        </w:rPr>
        <w:t>30</w:t>
      </w:r>
      <w:r>
        <w:rPr>
          <w:spacing w:val="9"/>
          <w:w w:val="100"/>
        </w:rPr>
        <w:drawing>
          <wp:inline distT="0" distB="0" distL="0" distR="0">
            <wp:extent cx="85090" cy="1549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position w:val="1"/>
        </w:rPr>
        <w:t>，其余资金可根据首期到位资金运</w:t>
      </w:r>
      <w:r>
        <w:t>行情况及项目实施进度分步到位。</w:t>
      </w:r>
    </w:p>
    <w:p>
      <w:pPr>
        <w:pStyle w:val="3"/>
        <w:spacing w:before="9" w:line="338" w:lineRule="auto"/>
        <w:ind w:right="422" w:firstLine="639"/>
        <w:jc w:val="both"/>
      </w:pPr>
      <w:r>
        <w:rPr>
          <w:rFonts w:hint="eastAsia" w:ascii="黑体" w:eastAsia="黑体"/>
          <w:spacing w:val="13"/>
        </w:rPr>
        <w:t xml:space="preserve">第二十八条 </w:t>
      </w:r>
      <w:r>
        <w:rPr>
          <w:spacing w:val="9"/>
        </w:rPr>
        <w:t>引导基金合作设立的子基金存续期一般不超</w:t>
      </w:r>
      <w:r>
        <w:rPr>
          <w:spacing w:val="-42"/>
        </w:rPr>
        <w:t xml:space="preserve">过 </w:t>
      </w:r>
      <w:r>
        <w:t>8</w:t>
      </w:r>
      <w:r>
        <w:rPr>
          <w:spacing w:val="-23"/>
        </w:rPr>
        <w:t xml:space="preserve"> 年，确需要超过 </w:t>
      </w:r>
      <w:r>
        <w:t>8</w:t>
      </w:r>
      <w:r>
        <w:rPr>
          <w:spacing w:val="-12"/>
        </w:rPr>
        <w:t xml:space="preserve"> 年的，经子基金出资人协商一致，经引导</w:t>
      </w:r>
    </w:p>
    <w:p>
      <w:pPr>
        <w:pStyle w:val="3"/>
        <w:spacing w:before="3"/>
        <w:jc w:val="both"/>
      </w:pPr>
      <w:r>
        <w:t>基金管理委员会通过，可适当延长，总存续期不得超过 10 年。</w:t>
      </w:r>
    </w:p>
    <w:p>
      <w:pPr>
        <w:pStyle w:val="3"/>
        <w:tabs>
          <w:tab w:val="left" w:pos="1313"/>
        </w:tabs>
        <w:spacing w:before="171"/>
        <w:ind w:left="33"/>
        <w:jc w:val="center"/>
        <w:rPr>
          <w:rFonts w:hint="eastAsia" w:ascii="黑体" w:eastAsia="黑体"/>
        </w:rPr>
      </w:pPr>
      <w:r>
        <w:rPr>
          <w:rFonts w:hint="eastAsia" w:ascii="黑体" w:eastAsia="黑体"/>
        </w:rPr>
        <w:t>第六章</w:t>
      </w:r>
      <w:r>
        <w:rPr>
          <w:rFonts w:hint="eastAsia" w:ascii="黑体" w:eastAsia="黑体"/>
        </w:rPr>
        <w:tab/>
      </w:r>
      <w:r>
        <w:rPr>
          <w:rFonts w:hint="eastAsia" w:ascii="黑体" w:eastAsia="黑体"/>
        </w:rPr>
        <w:t>退出方式</w:t>
      </w:r>
    </w:p>
    <w:p>
      <w:pPr>
        <w:pStyle w:val="3"/>
        <w:spacing w:before="169" w:line="338" w:lineRule="auto"/>
        <w:ind w:right="374" w:firstLine="639"/>
        <w:jc w:val="both"/>
      </w:pPr>
      <w:r>
        <w:rPr>
          <w:rFonts w:hint="eastAsia" w:ascii="黑体" w:eastAsia="黑体"/>
        </w:rPr>
        <w:t xml:space="preserve">第二十九条 </w:t>
      </w:r>
      <w:r>
        <w:t>引导基金退出方式、退出期限、退出条件等要素应在章程或合伙协议中载明;引导基金投资形成的股权，通过社会股东回购、股权转让、挂牌上市等方式退出；参股子基金到期清算，按所持出资比例分配本金和收益；参股子基金发生破产清算，按照相关法律法规规定及公司章程或合伙协议约定执行。</w:t>
      </w:r>
    </w:p>
    <w:p>
      <w:pPr>
        <w:spacing w:after="0" w:line="338" w:lineRule="auto"/>
        <w:jc w:val="both"/>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tabs>
          <w:tab w:val="left" w:pos="2706"/>
        </w:tabs>
        <w:spacing w:before="55" w:line="340" w:lineRule="auto"/>
        <w:ind w:right="431" w:firstLine="639"/>
      </w:pPr>
      <w:r>
        <w:rPr>
          <w:rFonts w:hint="eastAsia" w:ascii="黑体" w:eastAsia="黑体"/>
        </w:rPr>
        <w:t>第三十条</w:t>
      </w:r>
      <w:r>
        <w:rPr>
          <w:rFonts w:hint="eastAsia" w:ascii="黑体" w:eastAsia="黑体"/>
        </w:rPr>
        <w:tab/>
      </w:r>
      <w:r>
        <w:rPr>
          <w:spacing w:val="-1"/>
        </w:rPr>
        <w:t>有下列情况</w:t>
      </w:r>
      <w:r>
        <w:t>之一的</w:t>
      </w:r>
      <w:r>
        <w:rPr>
          <w:spacing w:val="-58"/>
        </w:rPr>
        <w:t>，</w:t>
      </w:r>
      <w:r>
        <w:t>引导基金公司可无需其他出资人同意自行选择退出：</w:t>
      </w:r>
    </w:p>
    <w:p>
      <w:pPr>
        <w:pStyle w:val="3"/>
        <w:spacing w:line="338" w:lineRule="auto"/>
        <w:ind w:right="367" w:firstLine="639"/>
      </w:pPr>
      <w:r>
        <w:t>（一）子基金管理人未按照子基金章程、合伙协议或其他约束性文件的约定进行投资的。</w:t>
      </w:r>
    </w:p>
    <w:p>
      <w:pPr>
        <w:pStyle w:val="3"/>
        <w:spacing w:line="338" w:lineRule="auto"/>
        <w:ind w:right="431" w:firstLine="639"/>
      </w:pPr>
      <w:r>
        <w:t>（二</w:t>
      </w:r>
      <w:r>
        <w:rPr>
          <w:spacing w:val="-30"/>
        </w:rPr>
        <w:t>）</w:t>
      </w:r>
      <w:r>
        <w:rPr>
          <w:spacing w:val="-6"/>
        </w:rPr>
        <w:t xml:space="preserve">与子基金管理人签订合作协议超过 </w:t>
      </w:r>
      <w:r>
        <w:t>1</w:t>
      </w:r>
      <w:r>
        <w:rPr>
          <w:spacing w:val="-16"/>
        </w:rPr>
        <w:t xml:space="preserve"> 年，子基金管理团队未按约定程序和时间要求完成设立手续的。</w:t>
      </w:r>
    </w:p>
    <w:p>
      <w:pPr>
        <w:pStyle w:val="3"/>
        <w:spacing w:before="3"/>
        <w:ind w:left="1107"/>
      </w:pPr>
      <w:r>
        <w:t>（三）子基金设立 1 年以后，未开展投资业务的。</w:t>
      </w:r>
    </w:p>
    <w:p>
      <w:pPr>
        <w:pStyle w:val="3"/>
        <w:spacing w:before="171"/>
        <w:ind w:left="1107"/>
      </w:pPr>
      <w:r>
        <w:t>（四）投资领域和阶段不符合规定的。</w:t>
      </w:r>
    </w:p>
    <w:p>
      <w:pPr>
        <w:pStyle w:val="3"/>
        <w:spacing w:before="170"/>
        <w:ind w:left="1107"/>
      </w:pPr>
      <w:r>
        <w:t>（五）子基金管理人发生实质性变化的。</w:t>
      </w:r>
    </w:p>
    <w:p>
      <w:pPr>
        <w:pStyle w:val="3"/>
        <w:spacing w:before="169" w:line="340" w:lineRule="auto"/>
        <w:ind w:right="430" w:firstLine="639"/>
        <w:jc w:val="both"/>
      </w:pPr>
      <w:r>
        <w:rPr>
          <w:rFonts w:hint="eastAsia" w:ascii="黑体" w:eastAsia="黑体"/>
          <w:spacing w:val="24"/>
        </w:rPr>
        <w:t xml:space="preserve">第三十一条 </w:t>
      </w:r>
      <w:r>
        <w:rPr>
          <w:spacing w:val="-8"/>
        </w:rPr>
        <w:t>引导基金退出时，原则上应按国有产权管理的</w:t>
      </w:r>
      <w:r>
        <w:rPr>
          <w:spacing w:val="-6"/>
        </w:rPr>
        <w:t>有关规定通过公开市场进行，引导基金公司应聘请符合资质的中</w:t>
      </w:r>
      <w:r>
        <w:rPr>
          <w:spacing w:val="-4"/>
        </w:rPr>
        <w:t>介机构对所持股权进行专项审计和资产评估，作为确定退出价格</w:t>
      </w:r>
      <w:r>
        <w:rPr>
          <w:spacing w:val="-8"/>
        </w:rPr>
        <w:t>的重要参考。对于未按约定价格实行协议退出的，应报经基金管理委员会审核批准。</w:t>
      </w:r>
    </w:p>
    <w:p>
      <w:pPr>
        <w:pStyle w:val="3"/>
        <w:tabs>
          <w:tab w:val="left" w:pos="1313"/>
        </w:tabs>
        <w:spacing w:line="399" w:lineRule="exact"/>
        <w:ind w:left="34"/>
        <w:jc w:val="center"/>
        <w:rPr>
          <w:rFonts w:hint="eastAsia" w:ascii="黑体" w:eastAsia="黑体"/>
        </w:rPr>
      </w:pPr>
      <w:r>
        <w:rPr>
          <w:rFonts w:hint="eastAsia" w:ascii="黑体" w:eastAsia="黑体"/>
        </w:rPr>
        <w:t>第七章</w:t>
      </w:r>
      <w:r>
        <w:rPr>
          <w:rFonts w:hint="eastAsia" w:ascii="黑体" w:eastAsia="黑体"/>
        </w:rPr>
        <w:tab/>
      </w:r>
      <w:r>
        <w:rPr>
          <w:rFonts w:hint="eastAsia" w:ascii="黑体" w:eastAsia="黑体"/>
        </w:rPr>
        <w:t>收益和费用管理</w:t>
      </w:r>
    </w:p>
    <w:p>
      <w:pPr>
        <w:pStyle w:val="3"/>
        <w:spacing w:before="170" w:line="338" w:lineRule="auto"/>
        <w:ind w:right="374" w:firstLine="639"/>
        <w:jc w:val="both"/>
      </w:pPr>
      <w:r>
        <w:rPr>
          <w:rFonts w:hint="eastAsia" w:ascii="黑体" w:eastAsia="黑体"/>
        </w:rPr>
        <w:t xml:space="preserve">第三十二条 </w:t>
      </w:r>
      <w:r>
        <w:t>引导基金的收益分配方式应在章程或合伙协议中载明，引导基金可对子基金管理人、出资人适度让利。对市政府重点支持产业和领域的创新性投资，可采取一定期限收益让渡、约定退出期限和回报率，按同期银行贷款基准利率收取一定的收益等方式给予适当让利，但应完善与之相适应的收益让渡、风险承担等考核机制，具体标准在出资协议中载明。</w:t>
      </w:r>
    </w:p>
    <w:p>
      <w:pPr>
        <w:pStyle w:val="3"/>
        <w:spacing w:before="11"/>
        <w:ind w:left="1107"/>
        <w:jc w:val="both"/>
      </w:pPr>
      <w:r>
        <w:rPr>
          <w:rFonts w:hint="eastAsia" w:ascii="黑体" w:eastAsia="黑体"/>
        </w:rPr>
        <w:t xml:space="preserve">第三十三条 </w:t>
      </w:r>
      <w:r>
        <w:t>引导基金运营不以盈利为目的，引导基金公司</w:t>
      </w:r>
    </w:p>
    <w:p>
      <w:pPr>
        <w:spacing w:after="0"/>
        <w:jc w:val="both"/>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line="340" w:lineRule="auto"/>
        <w:ind w:right="423"/>
      </w:pPr>
      <w:r>
        <w:t>的运营管理费用从引导基金存放银行或购买国债等所得收益中解决，不足部分由财政补助。</w:t>
      </w:r>
    </w:p>
    <w:p>
      <w:pPr>
        <w:pStyle w:val="3"/>
        <w:tabs>
          <w:tab w:val="left" w:pos="3100"/>
        </w:tabs>
        <w:spacing w:line="338" w:lineRule="auto"/>
        <w:ind w:right="410" w:firstLine="639"/>
      </w:pPr>
      <w:r>
        <w:rPr>
          <w:rFonts w:hint="eastAsia" w:ascii="黑体" w:eastAsia="黑体"/>
          <w:spacing w:val="10"/>
        </w:rPr>
        <w:t>第三十四</w:t>
      </w:r>
      <w:r>
        <w:rPr>
          <w:rFonts w:hint="eastAsia" w:ascii="黑体" w:eastAsia="黑体"/>
        </w:rPr>
        <w:t>条</w:t>
      </w:r>
      <w:r>
        <w:rPr>
          <w:rFonts w:hint="eastAsia" w:ascii="黑体" w:eastAsia="黑体"/>
        </w:rPr>
        <w:tab/>
      </w:r>
      <w:r>
        <w:rPr>
          <w:spacing w:val="10"/>
        </w:rPr>
        <w:t>子基金管理公司的委托管理费用按照委托管</w:t>
      </w:r>
      <w:r>
        <w:rPr>
          <w:spacing w:val="22"/>
        </w:rPr>
        <w:t>理协议约定支付，原则上按照到位注册资本或到位出资额的</w:t>
      </w:r>
    </w:p>
    <w:p>
      <w:pPr>
        <w:pStyle w:val="3"/>
        <w:spacing w:line="492" w:lineRule="exact"/>
      </w:pPr>
      <w:r>
        <w:drawing>
          <wp:anchor distT="0" distB="0" distL="0" distR="0" simplePos="0" relativeHeight="251660288" behindDoc="1" locked="0" layoutInCell="1" allowOverlap="1">
            <wp:simplePos x="0" y="0"/>
            <wp:positionH relativeFrom="page">
              <wp:posOffset>1116330</wp:posOffset>
            </wp:positionH>
            <wp:positionV relativeFrom="paragraph">
              <wp:posOffset>53340</wp:posOffset>
            </wp:positionV>
            <wp:extent cx="85725" cy="15557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1538605</wp:posOffset>
            </wp:positionH>
            <wp:positionV relativeFrom="paragraph">
              <wp:posOffset>53340</wp:posOffset>
            </wp:positionV>
            <wp:extent cx="85725" cy="15557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anchor>
        </w:drawing>
      </w:r>
      <w:r>
        <w:t>1</w:t>
      </w:r>
      <w:r>
        <w:rPr>
          <w:rFonts w:hint="eastAsia" w:ascii="微软雅黑" w:hAnsi="微软雅黑" w:eastAsia="微软雅黑"/>
        </w:rPr>
        <w:t>—</w:t>
      </w:r>
      <w:r>
        <w:t>2 确定，具体比例在委托管理协议中载明。</w:t>
      </w:r>
    </w:p>
    <w:p>
      <w:pPr>
        <w:pStyle w:val="3"/>
        <w:tabs>
          <w:tab w:val="left" w:pos="1313"/>
        </w:tabs>
        <w:spacing w:before="88"/>
        <w:ind w:left="33"/>
        <w:jc w:val="center"/>
        <w:rPr>
          <w:rFonts w:hint="eastAsia" w:ascii="黑体" w:eastAsia="黑体"/>
        </w:rPr>
      </w:pPr>
      <w:r>
        <w:rPr>
          <w:rFonts w:hint="eastAsia" w:ascii="黑体" w:eastAsia="黑体"/>
        </w:rPr>
        <w:t>第八章</w:t>
      </w:r>
      <w:r>
        <w:rPr>
          <w:rFonts w:hint="eastAsia" w:ascii="黑体" w:eastAsia="黑体"/>
        </w:rPr>
        <w:tab/>
      </w:r>
      <w:r>
        <w:rPr>
          <w:rFonts w:hint="eastAsia" w:ascii="黑体" w:eastAsia="黑体"/>
        </w:rPr>
        <w:t>风险防控和绩效考核</w:t>
      </w:r>
    </w:p>
    <w:p>
      <w:pPr>
        <w:pStyle w:val="3"/>
        <w:tabs>
          <w:tab w:val="left" w:pos="3027"/>
        </w:tabs>
        <w:spacing w:before="170" w:line="340" w:lineRule="auto"/>
        <w:ind w:right="431" w:firstLine="639"/>
      </w:pPr>
      <w:r>
        <w:rPr>
          <w:rFonts w:hint="eastAsia" w:ascii="黑体" w:eastAsia="黑体"/>
        </w:rPr>
        <w:t>第三十五条</w:t>
      </w:r>
      <w:r>
        <w:rPr>
          <w:rFonts w:hint="eastAsia" w:ascii="黑体" w:eastAsia="黑体"/>
        </w:rPr>
        <w:tab/>
      </w:r>
      <w:r>
        <w:t>基金管理委员会办公室要健全投资项目的审</w:t>
      </w:r>
      <w:r>
        <w:rPr>
          <w:spacing w:val="-1"/>
        </w:rPr>
        <w:t>议决策程序</w:t>
      </w:r>
      <w:r>
        <w:rPr>
          <w:spacing w:val="-30"/>
        </w:rPr>
        <w:t>，</w:t>
      </w:r>
      <w:r>
        <w:rPr>
          <w:spacing w:val="-1"/>
        </w:rPr>
        <w:t>加强对引</w:t>
      </w:r>
      <w:r>
        <w:t>导基金运作与管理的指导和监督</w:t>
      </w:r>
      <w:r>
        <w:rPr>
          <w:spacing w:val="-29"/>
        </w:rPr>
        <w:t>，</w:t>
      </w:r>
      <w:r>
        <w:t>定期对</w:t>
      </w:r>
      <w:r>
        <w:rPr>
          <w:spacing w:val="-1"/>
        </w:rPr>
        <w:t>基金投资运作情况</w:t>
      </w:r>
      <w:r>
        <w:rPr>
          <w:spacing w:val="-31"/>
        </w:rPr>
        <w:t>、</w:t>
      </w:r>
      <w:r>
        <w:rPr>
          <w:spacing w:val="-1"/>
        </w:rPr>
        <w:t>资</w:t>
      </w:r>
      <w:r>
        <w:t>金使用情况</w:t>
      </w:r>
      <w:r>
        <w:rPr>
          <w:spacing w:val="-29"/>
        </w:rPr>
        <w:t>、</w:t>
      </w:r>
      <w:r>
        <w:t>财务收支情况等进行监督检</w:t>
      </w:r>
      <w:r>
        <w:rPr>
          <w:spacing w:val="-1"/>
        </w:rPr>
        <w:t>查</w:t>
      </w:r>
      <w:r>
        <w:rPr>
          <w:spacing w:val="-29"/>
        </w:rPr>
        <w:t>，</w:t>
      </w:r>
      <w:r>
        <w:rPr>
          <w:spacing w:val="-1"/>
        </w:rPr>
        <w:t>并视工作需要委托第</w:t>
      </w:r>
      <w:r>
        <w:t>三方专业机构开展专项审计</w:t>
      </w:r>
      <w:r>
        <w:rPr>
          <w:spacing w:val="-30"/>
        </w:rPr>
        <w:t>，</w:t>
      </w:r>
      <w:r>
        <w:t>有效防范运作风险，确保基金的安全和效益。</w:t>
      </w:r>
    </w:p>
    <w:p>
      <w:pPr>
        <w:pStyle w:val="3"/>
        <w:spacing w:line="338" w:lineRule="auto"/>
        <w:ind w:right="422" w:firstLine="639"/>
        <w:jc w:val="both"/>
      </w:pPr>
      <w:r>
        <w:rPr>
          <w:rFonts w:hint="eastAsia" w:ascii="黑体" w:eastAsia="黑体"/>
          <w:spacing w:val="13"/>
        </w:rPr>
        <w:t xml:space="preserve">第三十六条 </w:t>
      </w:r>
      <w:r>
        <w:rPr>
          <w:spacing w:val="9"/>
        </w:rPr>
        <w:t>引导基金公司要按照基金管理委员会确定的</w:t>
      </w:r>
      <w:r>
        <w:rPr>
          <w:spacing w:val="-6"/>
        </w:rPr>
        <w:t>投资原则和投资要求，组织制定年度投资计划，并加强对引导基</w:t>
      </w:r>
      <w:r>
        <w:rPr>
          <w:spacing w:val="-11"/>
        </w:rPr>
        <w:t>金日常运作的管理，严格实行规范的项目征集、筛选、预审、投</w:t>
      </w:r>
      <w:r>
        <w:rPr>
          <w:spacing w:val="3"/>
        </w:rPr>
        <w:t>入、退出等全过程的运作管理工作;要建立健全包括风险管理制</w:t>
      </w:r>
      <w:r>
        <w:rPr>
          <w:spacing w:val="-8"/>
        </w:rPr>
        <w:t>度、风险管理组织和风险控制流程在内的风控合规体系及内部管控制度，并报基金管理委员会办公室备案。</w:t>
      </w:r>
    </w:p>
    <w:p>
      <w:pPr>
        <w:pStyle w:val="3"/>
        <w:spacing w:before="1" w:line="340" w:lineRule="auto"/>
        <w:ind w:right="422" w:firstLine="639"/>
        <w:jc w:val="both"/>
      </w:pPr>
      <w:r>
        <w:rPr>
          <w:rFonts w:hint="eastAsia" w:ascii="黑体" w:eastAsia="黑体"/>
          <w:spacing w:val="13"/>
        </w:rPr>
        <w:t xml:space="preserve">第三十七条 </w:t>
      </w:r>
      <w:r>
        <w:rPr>
          <w:spacing w:val="9"/>
        </w:rPr>
        <w:t>子基金的股权投资资金应当委托符合条件的</w:t>
      </w:r>
      <w:r>
        <w:rPr>
          <w:spacing w:val="-7"/>
        </w:rPr>
        <w:t>商业银行进行托管，实行专户管理。子基金托管银行由引导基金公司选择确定，并由子基金管理公司与其签订资金托管协议。</w:t>
      </w:r>
    </w:p>
    <w:p>
      <w:pPr>
        <w:pStyle w:val="3"/>
        <w:spacing w:line="338" w:lineRule="auto"/>
        <w:ind w:right="432" w:firstLine="639"/>
        <w:jc w:val="both"/>
      </w:pPr>
      <w:r>
        <w:rPr>
          <w:rFonts w:hint="eastAsia" w:ascii="黑体" w:eastAsia="黑体"/>
        </w:rPr>
        <w:t xml:space="preserve">第三十八条 </w:t>
      </w:r>
      <w:r>
        <w:t>托管银行应当具备以下条件，并以公开招标方式选择：</w:t>
      </w:r>
    </w:p>
    <w:p>
      <w:pPr>
        <w:spacing w:after="0" w:line="338" w:lineRule="auto"/>
        <w:jc w:val="both"/>
        <w:sectPr>
          <w:footerReference r:id="rId7" w:type="default"/>
          <w:footerReference r:id="rId8" w:type="even"/>
          <w:pgSz w:w="11910" w:h="16840"/>
          <w:pgMar w:top="1600" w:right="980" w:bottom="1100" w:left="1120" w:header="0" w:footer="907" w:gutter="0"/>
          <w:pgNumType w:start="11"/>
          <w:cols w:space="720" w:num="1"/>
        </w:sectPr>
      </w:pPr>
    </w:p>
    <w:p>
      <w:pPr>
        <w:pStyle w:val="3"/>
        <w:ind w:left="0"/>
        <w:rPr>
          <w:sz w:val="20"/>
        </w:rPr>
      </w:pPr>
    </w:p>
    <w:p>
      <w:pPr>
        <w:pStyle w:val="3"/>
        <w:spacing w:before="10"/>
        <w:ind w:left="0"/>
        <w:rPr>
          <w:sz w:val="25"/>
        </w:rPr>
      </w:pPr>
    </w:p>
    <w:p>
      <w:pPr>
        <w:pStyle w:val="3"/>
        <w:spacing w:before="55" w:line="340" w:lineRule="auto"/>
        <w:ind w:right="432" w:firstLine="639"/>
      </w:pPr>
      <w:r>
        <w:t>（一</w:t>
      </w:r>
      <w:r>
        <w:rPr>
          <w:spacing w:val="-57"/>
        </w:rPr>
        <w:t>）</w:t>
      </w:r>
      <w:r>
        <w:rPr>
          <w:spacing w:val="-15"/>
        </w:rPr>
        <w:t xml:space="preserve">成立时间在 </w:t>
      </w:r>
      <w:r>
        <w:t>5</w:t>
      </w:r>
      <w:r>
        <w:rPr>
          <w:spacing w:val="-10"/>
        </w:rPr>
        <w:t xml:space="preserve"> 年以上的全国性国有或股份制商业银行等金融机构。</w:t>
      </w:r>
    </w:p>
    <w:p>
      <w:pPr>
        <w:pStyle w:val="3"/>
        <w:spacing w:line="406" w:lineRule="exact"/>
        <w:ind w:left="1107"/>
      </w:pPr>
      <w:r>
        <w:t>（二）在吉林市有分支机构，与我市有良好的合作基础。</w:t>
      </w:r>
    </w:p>
    <w:p>
      <w:pPr>
        <w:pStyle w:val="3"/>
        <w:spacing w:before="170"/>
        <w:ind w:left="1107"/>
      </w:pPr>
      <w:r>
        <w:t>（三）设有专门的托管部门和人员。</w:t>
      </w:r>
    </w:p>
    <w:p>
      <w:pPr>
        <w:pStyle w:val="3"/>
        <w:spacing w:before="171" w:line="338" w:lineRule="auto"/>
        <w:ind w:right="432" w:firstLine="639"/>
      </w:pPr>
      <w:r>
        <w:rPr>
          <w:spacing w:val="-1"/>
        </w:rPr>
        <w:t>（四</w:t>
      </w:r>
      <w:r>
        <w:rPr>
          <w:spacing w:val="-57"/>
        </w:rPr>
        <w:t>）</w:t>
      </w:r>
      <w:r>
        <w:rPr>
          <w:spacing w:val="-1"/>
        </w:rPr>
        <w:t>具备安全保管和办理托管业务的设施设备及信息技术系统。</w:t>
      </w:r>
    </w:p>
    <w:p>
      <w:pPr>
        <w:pStyle w:val="3"/>
        <w:spacing w:before="3" w:line="340" w:lineRule="auto"/>
        <w:ind w:right="432" w:firstLine="639"/>
      </w:pPr>
      <w:r>
        <w:rPr>
          <w:spacing w:val="-1"/>
        </w:rPr>
        <w:t>（五</w:t>
      </w:r>
      <w:r>
        <w:rPr>
          <w:spacing w:val="-57"/>
        </w:rPr>
        <w:t>）</w:t>
      </w:r>
      <w:r>
        <w:rPr>
          <w:spacing w:val="-1"/>
        </w:rPr>
        <w:t>有完善的托管业务流程制度和内部稽核监控及风险控制制度。</w:t>
      </w:r>
    </w:p>
    <w:p>
      <w:pPr>
        <w:pStyle w:val="3"/>
        <w:spacing w:line="406" w:lineRule="exact"/>
        <w:ind w:left="1107"/>
      </w:pPr>
      <w:r>
        <w:t>（六）</w:t>
      </w:r>
      <w:r>
        <w:rPr>
          <w:spacing w:val="-42"/>
        </w:rPr>
        <w:t xml:space="preserve">近 </w:t>
      </w:r>
      <w:r>
        <w:t>3</w:t>
      </w:r>
      <w:r>
        <w:rPr>
          <w:spacing w:val="-10"/>
        </w:rPr>
        <w:t xml:space="preserve"> 年无重大违法违规记录。</w:t>
      </w:r>
    </w:p>
    <w:p>
      <w:pPr>
        <w:pStyle w:val="3"/>
        <w:tabs>
          <w:tab w:val="left" w:pos="1313"/>
        </w:tabs>
        <w:spacing w:before="169"/>
        <w:ind w:left="33"/>
        <w:jc w:val="center"/>
        <w:rPr>
          <w:rFonts w:hint="eastAsia" w:ascii="黑体" w:eastAsia="黑体"/>
        </w:rPr>
      </w:pPr>
      <w:r>
        <w:rPr>
          <w:rFonts w:hint="eastAsia" w:ascii="黑体" w:eastAsia="黑体"/>
        </w:rPr>
        <w:t>第九章</w:t>
      </w:r>
      <w:r>
        <w:rPr>
          <w:rFonts w:hint="eastAsia" w:ascii="黑体" w:eastAsia="黑体"/>
        </w:rPr>
        <w:tab/>
      </w:r>
      <w:r>
        <w:rPr>
          <w:rFonts w:hint="eastAsia" w:ascii="黑体" w:eastAsia="黑体"/>
          <w:spacing w:val="-1"/>
        </w:rPr>
        <w:t>激励机制</w:t>
      </w:r>
    </w:p>
    <w:p>
      <w:pPr>
        <w:pStyle w:val="3"/>
        <w:spacing w:before="171" w:line="338" w:lineRule="auto"/>
        <w:ind w:right="430" w:firstLine="639"/>
        <w:jc w:val="both"/>
      </w:pPr>
      <w:r>
        <w:rPr>
          <w:rFonts w:hint="eastAsia" w:ascii="黑体" w:eastAsia="黑体"/>
          <w:spacing w:val="24"/>
        </w:rPr>
        <w:t xml:space="preserve">第三十九条 </w:t>
      </w:r>
      <w:r>
        <w:rPr>
          <w:spacing w:val="-4"/>
        </w:rPr>
        <w:t>子基金管理公司及子基金注册在吉林市，并经</w:t>
      </w:r>
      <w:r>
        <w:rPr>
          <w:spacing w:val="-5"/>
        </w:rPr>
        <w:t>中国证券投资基金业协会登记备案，享受吉林省金融业发展专项资金扶持政策。</w:t>
      </w:r>
    </w:p>
    <w:p>
      <w:pPr>
        <w:pStyle w:val="3"/>
        <w:spacing w:before="6" w:line="338" w:lineRule="auto"/>
        <w:ind w:right="427" w:firstLine="639"/>
        <w:jc w:val="both"/>
      </w:pPr>
      <w:r>
        <w:rPr>
          <w:rFonts w:hint="eastAsia" w:ascii="黑体" w:eastAsia="黑体"/>
          <w:spacing w:val="29"/>
        </w:rPr>
        <w:t xml:space="preserve">第四十条 </w:t>
      </w:r>
      <w:r>
        <w:rPr>
          <w:spacing w:val="-6"/>
        </w:rPr>
        <w:t>若子基金存续期结束后，子基金年化收益率高于</w:t>
      </w:r>
      <w:r>
        <w:rPr>
          <w:spacing w:val="3"/>
          <w:w w:val="100"/>
        </w:rPr>
        <w:t>出资协议约定的年化收益率（不含</w:t>
      </w:r>
      <w:r>
        <w:rPr>
          <w:spacing w:val="-158"/>
          <w:w w:val="100"/>
        </w:rPr>
        <w:t>）</w:t>
      </w:r>
      <w:r>
        <w:rPr>
          <w:spacing w:val="3"/>
          <w:w w:val="100"/>
        </w:rPr>
        <w:t>，引导基金对子基金其他出</w:t>
      </w:r>
      <w:r>
        <w:rPr>
          <w:spacing w:val="-9"/>
        </w:rPr>
        <w:t>资人、子基金管理人给予额外奖励，引导基金公司在收回投资成</w:t>
      </w:r>
      <w:r>
        <w:rPr>
          <w:spacing w:val="-6"/>
        </w:rPr>
        <w:t>本和实现出资协议约定的年化收益率后，原则上将其增值收益的</w:t>
      </w:r>
    </w:p>
    <w:p>
      <w:pPr>
        <w:pStyle w:val="3"/>
        <w:tabs>
          <w:tab w:val="left" w:pos="2460"/>
        </w:tabs>
        <w:spacing w:before="2" w:line="340" w:lineRule="auto"/>
        <w:ind w:right="422"/>
        <w:jc w:val="right"/>
      </w:pPr>
      <w:r>
        <w:rPr>
          <w:spacing w:val="4"/>
          <w:position w:val="1"/>
        </w:rPr>
        <w:t>70</w:t>
      </w:r>
      <w:r>
        <w:rPr>
          <w:spacing w:val="-159"/>
          <w:position w:val="1"/>
        </w:rPr>
        <w:t xml:space="preserve"> </w:t>
      </w:r>
      <w:r>
        <w:rPr>
          <w:spacing w:val="9"/>
          <w:w w:val="100"/>
        </w:rPr>
        <w:drawing>
          <wp:inline distT="0" distB="0" distL="0" distR="0">
            <wp:extent cx="85090" cy="15494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spacing w:val="3"/>
          <w:position w:val="1"/>
        </w:rPr>
        <w:t>奖励给子基金管理机构及子基金其他出资人，子基金管理机</w:t>
      </w:r>
      <w:r>
        <w:rPr>
          <w:position w:val="1"/>
        </w:rPr>
        <w:t>构和子基金其他出资人各得</w:t>
      </w:r>
      <w:r>
        <w:rPr>
          <w:spacing w:val="-86"/>
          <w:position w:val="1"/>
        </w:rPr>
        <w:t xml:space="preserve"> </w:t>
      </w:r>
      <w:r>
        <w:rPr>
          <w:spacing w:val="4"/>
          <w:position w:val="1"/>
        </w:rPr>
        <w:t>35</w:t>
      </w:r>
      <w:r>
        <w:rPr>
          <w:spacing w:val="10"/>
          <w:w w:val="100"/>
        </w:rPr>
        <w:drawing>
          <wp:inline distT="0" distB="0" distL="0" distR="0">
            <wp:extent cx="85090" cy="15494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spacing w:val="-1"/>
          <w:position w:val="1"/>
        </w:rPr>
        <w:t>，具体额度在出资协议中载明。</w:t>
      </w:r>
      <w:r>
        <w:rPr>
          <w:rFonts w:hint="eastAsia" w:ascii="黑体" w:eastAsia="黑体"/>
          <w:spacing w:val="10"/>
        </w:rPr>
        <w:t>第四十一</w:t>
      </w:r>
      <w:r>
        <w:rPr>
          <w:rFonts w:hint="eastAsia" w:ascii="黑体" w:eastAsia="黑体"/>
        </w:rPr>
        <w:t>条</w:t>
      </w:r>
      <w:r>
        <w:rPr>
          <w:rFonts w:hint="eastAsia" w:ascii="黑体" w:eastAsia="黑体"/>
        </w:rPr>
        <w:tab/>
      </w:r>
      <w:r>
        <w:rPr>
          <w:spacing w:val="10"/>
        </w:rPr>
        <w:t>若子基金未按约定投资比例投向吉林市重点</w:t>
      </w:r>
    </w:p>
    <w:p>
      <w:pPr>
        <w:pStyle w:val="3"/>
        <w:spacing w:line="338" w:lineRule="auto"/>
        <w:ind w:right="367"/>
      </w:pPr>
      <w:r>
        <w:t>产业，引导基金不给予子基金管理人及其他出资人额外奖励，并按协议约定给予相应处罚。</w:t>
      </w:r>
    </w:p>
    <w:p>
      <w:pPr>
        <w:spacing w:after="0" w:line="338" w:lineRule="auto"/>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line="338" w:lineRule="auto"/>
        <w:ind w:right="422" w:firstLine="639"/>
        <w:jc w:val="both"/>
      </w:pPr>
      <w:r>
        <w:rPr>
          <w:rFonts w:hint="eastAsia" w:ascii="黑体" w:eastAsia="黑体"/>
          <w:spacing w:val="13"/>
        </w:rPr>
        <w:t xml:space="preserve">第四十二条 </w:t>
      </w:r>
      <w:r>
        <w:rPr>
          <w:spacing w:val="9"/>
        </w:rPr>
        <w:t>引导基金对投资于我市政府重点扶持或鼓励的特定产业企业或创业早期企业的子基金管理机构及子基金其</w:t>
      </w:r>
      <w:r>
        <w:rPr>
          <w:spacing w:val="-6"/>
        </w:rPr>
        <w:t>他出资人予以一定的风险补偿。用于风险补偿的资金总额原则上</w:t>
      </w:r>
      <w:r>
        <w:rPr>
          <w:spacing w:val="-6"/>
          <w:position w:val="1"/>
        </w:rPr>
        <w:t>不超过引导基金总规模的</w:t>
      </w:r>
      <w:r>
        <w:rPr>
          <w:spacing w:val="-63"/>
          <w:position w:val="1"/>
        </w:rPr>
        <w:t xml:space="preserve"> </w:t>
      </w:r>
      <w:r>
        <w:rPr>
          <w:spacing w:val="4"/>
          <w:position w:val="1"/>
        </w:rPr>
        <w:t>20</w:t>
      </w:r>
      <w:r>
        <w:rPr>
          <w:spacing w:val="9"/>
          <w:w w:val="100"/>
        </w:rPr>
        <w:drawing>
          <wp:inline distT="0" distB="0" distL="0" distR="0">
            <wp:extent cx="85090" cy="15494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spacing w:val="-1"/>
          <w:position w:val="1"/>
        </w:rPr>
        <w:t>。申请风险补偿的子基金管理机构</w:t>
      </w:r>
    </w:p>
    <w:p>
      <w:pPr>
        <w:pStyle w:val="3"/>
        <w:spacing w:before="9"/>
        <w:jc w:val="both"/>
      </w:pPr>
      <w:r>
        <w:rPr>
          <w:spacing w:val="-10"/>
        </w:rPr>
        <w:t xml:space="preserve">须在每年的 </w:t>
      </w:r>
      <w:r>
        <w:t>3</w:t>
      </w:r>
      <w:r>
        <w:rPr>
          <w:spacing w:val="-39"/>
        </w:rPr>
        <w:t xml:space="preserve"> 月 </w:t>
      </w:r>
      <w:r>
        <w:t>31</w:t>
      </w:r>
      <w:r>
        <w:rPr>
          <w:spacing w:val="-8"/>
        </w:rPr>
        <w:t xml:space="preserve"> 日前向引导基金提交上一年度的风险补偿申</w:t>
      </w:r>
    </w:p>
    <w:p>
      <w:pPr>
        <w:pStyle w:val="3"/>
        <w:spacing w:before="164"/>
        <w:jc w:val="both"/>
      </w:pPr>
      <w:r>
        <w:rPr>
          <w:position w:val="1"/>
        </w:rPr>
        <w:t>请，引导基金按照不超过子基金实际损失的</w:t>
      </w:r>
      <w:r>
        <w:rPr>
          <w:spacing w:val="-67"/>
          <w:position w:val="1"/>
        </w:rPr>
        <w:t xml:space="preserve"> </w:t>
      </w:r>
      <w:r>
        <w:rPr>
          <w:spacing w:val="4"/>
          <w:position w:val="1"/>
        </w:rPr>
        <w:t>50</w:t>
      </w:r>
      <w:r>
        <w:rPr>
          <w:spacing w:val="9"/>
          <w:w w:val="100"/>
        </w:rPr>
        <w:drawing>
          <wp:inline distT="0" distB="0" distL="0" distR="0">
            <wp:extent cx="85090" cy="15494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spacing w:val="-1"/>
          <w:position w:val="1"/>
        </w:rPr>
        <w:t>给予风险补偿，</w:t>
      </w:r>
    </w:p>
    <w:p>
      <w:pPr>
        <w:pStyle w:val="3"/>
        <w:spacing w:before="175" w:line="340" w:lineRule="auto"/>
        <w:ind w:right="430"/>
        <w:jc w:val="both"/>
      </w:pPr>
      <w:r>
        <w:rPr>
          <w:spacing w:val="-5"/>
        </w:rPr>
        <w:t xml:space="preserve">单个子基金补偿金额原则上最高不超过 </w:t>
      </w:r>
      <w:r>
        <w:t>500</w:t>
      </w:r>
      <w:r>
        <w:rPr>
          <w:spacing w:val="-17"/>
        </w:rPr>
        <w:t xml:space="preserve"> 万元人民币，特殊情况须经基金管理委员会批准。</w:t>
      </w:r>
    </w:p>
    <w:p>
      <w:pPr>
        <w:pStyle w:val="3"/>
        <w:tabs>
          <w:tab w:val="left" w:pos="1314"/>
        </w:tabs>
        <w:spacing w:line="406" w:lineRule="exact"/>
        <w:ind w:left="34"/>
        <w:jc w:val="center"/>
        <w:rPr>
          <w:rFonts w:hint="eastAsia" w:ascii="黑体" w:eastAsia="黑体"/>
        </w:rPr>
      </w:pPr>
      <w:r>
        <w:rPr>
          <w:rFonts w:hint="eastAsia" w:ascii="黑体" w:eastAsia="黑体"/>
        </w:rPr>
        <w:t>第十章</w:t>
      </w:r>
      <w:r>
        <w:rPr>
          <w:rFonts w:hint="eastAsia" w:ascii="黑体" w:eastAsia="黑体"/>
        </w:rPr>
        <w:tab/>
      </w:r>
      <w:r>
        <w:rPr>
          <w:rFonts w:hint="eastAsia" w:ascii="黑体" w:eastAsia="黑体"/>
        </w:rPr>
        <w:t>定期报告制度</w:t>
      </w:r>
    </w:p>
    <w:p>
      <w:pPr>
        <w:pStyle w:val="3"/>
        <w:spacing w:before="169" w:line="338" w:lineRule="auto"/>
        <w:ind w:right="422" w:firstLine="639"/>
        <w:jc w:val="both"/>
      </w:pPr>
      <w:r>
        <w:rPr>
          <w:rFonts w:hint="eastAsia" w:ascii="黑体" w:eastAsia="黑体"/>
          <w:spacing w:val="13"/>
        </w:rPr>
        <w:t xml:space="preserve">第四十三条 </w:t>
      </w:r>
      <w:r>
        <w:rPr>
          <w:spacing w:val="9"/>
        </w:rPr>
        <w:t>引导基金公司每季度向基金管理委员会办公</w:t>
      </w:r>
      <w:r>
        <w:rPr>
          <w:spacing w:val="-14"/>
        </w:rPr>
        <w:t xml:space="preserve">室报送《引导基金运行报告》，并于每个会计年度结束后 </w:t>
      </w:r>
      <w:r>
        <w:t>5</w:t>
      </w:r>
      <w:r>
        <w:rPr>
          <w:spacing w:val="-12"/>
        </w:rPr>
        <w:t xml:space="preserve"> 个月</w:t>
      </w:r>
      <w:r>
        <w:rPr>
          <w:spacing w:val="-22"/>
        </w:rPr>
        <w:t>内提交经注册会计师审计的《引导基金公司年度会计报告》和《引</w:t>
      </w:r>
      <w:r>
        <w:rPr>
          <w:spacing w:val="-32"/>
        </w:rPr>
        <w:t>导基金年度执行情况报告》。</w:t>
      </w:r>
    </w:p>
    <w:p>
      <w:pPr>
        <w:pStyle w:val="3"/>
        <w:spacing w:before="9" w:line="338" w:lineRule="auto"/>
        <w:ind w:right="430" w:firstLine="639"/>
        <w:jc w:val="both"/>
      </w:pPr>
      <w:r>
        <w:rPr>
          <w:rFonts w:hint="eastAsia" w:ascii="黑体" w:eastAsia="黑体"/>
          <w:spacing w:val="24"/>
        </w:rPr>
        <w:t xml:space="preserve">第四十四条 </w:t>
      </w:r>
      <w:r>
        <w:rPr>
          <w:spacing w:val="3"/>
        </w:rPr>
        <w:t>子基金应在完成项目投资事项后</w:t>
      </w:r>
      <w:r>
        <w:t>1</w:t>
      </w:r>
      <w:r>
        <w:rPr>
          <w:spacing w:val="-20"/>
        </w:rPr>
        <w:t xml:space="preserve"> 个月内向引</w:t>
      </w:r>
      <w:r>
        <w:rPr>
          <w:spacing w:val="-6"/>
        </w:rPr>
        <w:t>导基金公司进行项目备案，引导基金公司每半年将统计报表提交基金管理委员会办公室备案。</w:t>
      </w:r>
    </w:p>
    <w:p>
      <w:pPr>
        <w:pStyle w:val="3"/>
        <w:spacing w:before="5" w:line="338" w:lineRule="auto"/>
        <w:ind w:right="430" w:firstLine="639"/>
        <w:jc w:val="both"/>
      </w:pPr>
      <w:r>
        <w:rPr>
          <w:rFonts w:hint="eastAsia" w:ascii="黑体" w:eastAsia="黑体"/>
          <w:spacing w:val="24"/>
        </w:rPr>
        <w:t xml:space="preserve">第四十五条 </w:t>
      </w:r>
      <w:r>
        <w:rPr>
          <w:spacing w:val="-4"/>
        </w:rPr>
        <w:t>子基金管理人每季度向引导基金公司提交《子</w:t>
      </w:r>
      <w:r>
        <w:rPr>
          <w:spacing w:val="-13"/>
        </w:rPr>
        <w:t xml:space="preserve">基金运行报告》，并于每个会计年度结束后 </w:t>
      </w:r>
      <w:r>
        <w:t>4</w:t>
      </w:r>
      <w:r>
        <w:rPr>
          <w:spacing w:val="-11"/>
        </w:rPr>
        <w:t xml:space="preserve"> 个月内提交经注册</w:t>
      </w:r>
      <w:r>
        <w:rPr>
          <w:spacing w:val="-7"/>
        </w:rPr>
        <w:t>会计师审计的《子基金年度会计报告》和《子基金年度执行情况报告》。</w:t>
      </w:r>
    </w:p>
    <w:p>
      <w:pPr>
        <w:pStyle w:val="3"/>
        <w:spacing w:before="8" w:line="338" w:lineRule="auto"/>
        <w:ind w:right="430" w:firstLine="639"/>
        <w:jc w:val="both"/>
      </w:pPr>
      <w:r>
        <w:rPr>
          <w:rFonts w:hint="eastAsia" w:ascii="黑体" w:eastAsia="黑体"/>
          <w:spacing w:val="24"/>
        </w:rPr>
        <w:t xml:space="preserve">第四十六条 </w:t>
      </w:r>
      <w:r>
        <w:rPr>
          <w:spacing w:val="-4"/>
        </w:rPr>
        <w:t>引导基金运作和管理中如发生重大问题，引导</w:t>
      </w:r>
      <w:r>
        <w:rPr>
          <w:spacing w:val="-16"/>
        </w:rPr>
        <w:t xml:space="preserve">基金公司应在 </w:t>
      </w:r>
      <w:r>
        <w:t>3</w:t>
      </w:r>
      <w:r>
        <w:rPr>
          <w:spacing w:val="-13"/>
        </w:rPr>
        <w:t xml:space="preserve"> 个工作日内向基金管理委员会办公室报告，基金</w:t>
      </w:r>
    </w:p>
    <w:p>
      <w:pPr>
        <w:spacing w:after="0" w:line="338" w:lineRule="auto"/>
        <w:jc w:val="both"/>
        <w:sectPr>
          <w:pgSz w:w="11910" w:h="16840"/>
          <w:pgMar w:top="1600" w:right="980" w:bottom="1100" w:left="1120" w:header="0" w:footer="907" w:gutter="0"/>
          <w:cols w:space="720" w:num="1"/>
        </w:sectPr>
      </w:pPr>
    </w:p>
    <w:p>
      <w:pPr>
        <w:pStyle w:val="3"/>
        <w:ind w:left="0"/>
        <w:rPr>
          <w:sz w:val="20"/>
        </w:rPr>
      </w:pPr>
    </w:p>
    <w:p>
      <w:pPr>
        <w:pStyle w:val="3"/>
        <w:spacing w:before="10"/>
        <w:ind w:left="0"/>
        <w:rPr>
          <w:sz w:val="25"/>
        </w:rPr>
      </w:pPr>
    </w:p>
    <w:p>
      <w:pPr>
        <w:pStyle w:val="3"/>
        <w:spacing w:before="55"/>
      </w:pPr>
      <w:r>
        <w:t>管理委员会办公室提出意见报基金管理委员会主任。</w:t>
      </w:r>
    </w:p>
    <w:p>
      <w:pPr>
        <w:tabs>
          <w:tab w:val="left" w:pos="5239"/>
          <w:tab w:val="left" w:pos="5881"/>
        </w:tabs>
        <w:spacing w:before="171"/>
        <w:ind w:left="3633" w:right="0" w:firstLine="0"/>
        <w:jc w:val="left"/>
        <w:rPr>
          <w:b/>
          <w:sz w:val="32"/>
        </w:rPr>
      </w:pPr>
      <w:r>
        <w:rPr>
          <w:b/>
          <w:sz w:val="32"/>
        </w:rPr>
        <w:t>第十一章</w:t>
      </w:r>
      <w:r>
        <w:rPr>
          <w:b/>
          <w:sz w:val="32"/>
        </w:rPr>
        <w:tab/>
      </w:r>
      <w:r>
        <w:rPr>
          <w:b/>
          <w:sz w:val="32"/>
        </w:rPr>
        <w:t>附</w:t>
      </w:r>
      <w:r>
        <w:rPr>
          <w:b/>
          <w:sz w:val="32"/>
        </w:rPr>
        <w:tab/>
      </w:r>
      <w:r>
        <w:rPr>
          <w:b/>
          <w:sz w:val="32"/>
        </w:rPr>
        <w:t>则</w:t>
      </w:r>
    </w:p>
    <w:p>
      <w:pPr>
        <w:pStyle w:val="3"/>
        <w:tabs>
          <w:tab w:val="left" w:pos="3027"/>
        </w:tabs>
        <w:spacing w:before="170" w:line="338" w:lineRule="auto"/>
        <w:ind w:right="431" w:firstLine="639"/>
      </w:pPr>
      <w:r>
        <w:rPr>
          <w:rFonts w:hint="eastAsia" w:ascii="黑体" w:eastAsia="黑体"/>
        </w:rPr>
        <w:t>第四十七条</w:t>
      </w:r>
      <w:r>
        <w:rPr>
          <w:rFonts w:hint="eastAsia" w:ascii="黑体" w:eastAsia="黑体"/>
        </w:rPr>
        <w:tab/>
      </w:r>
      <w:r>
        <w:rPr>
          <w:spacing w:val="-1"/>
        </w:rPr>
        <w:t>引导基金与</w:t>
      </w:r>
      <w:r>
        <w:t>中央</w:t>
      </w:r>
      <w:r>
        <w:rPr>
          <w:spacing w:val="-58"/>
        </w:rPr>
        <w:t>、</w:t>
      </w:r>
      <w:r>
        <w:t>省财政资金共同参股设立子基金的，按照国家、省有关规定执行。</w:t>
      </w:r>
    </w:p>
    <w:p>
      <w:pPr>
        <w:pStyle w:val="3"/>
        <w:tabs>
          <w:tab w:val="left" w:pos="3027"/>
        </w:tabs>
        <w:spacing w:before="4"/>
        <w:ind w:left="1107"/>
      </w:pPr>
      <w:r>
        <w:rPr>
          <w:rFonts w:hint="eastAsia" w:ascii="黑体" w:eastAsia="黑体"/>
        </w:rPr>
        <w:t>第四十八条</w:t>
      </w:r>
      <w:r>
        <w:rPr>
          <w:rFonts w:hint="eastAsia" w:ascii="黑体" w:eastAsia="黑体"/>
        </w:rPr>
        <w:tab/>
      </w:r>
      <w:r>
        <w:t>本办法由基金管理委员会办公室负责解释。</w:t>
      </w:r>
    </w:p>
    <w:p>
      <w:pPr>
        <w:pStyle w:val="3"/>
        <w:tabs>
          <w:tab w:val="left" w:pos="3027"/>
        </w:tabs>
        <w:spacing w:before="169"/>
        <w:ind w:left="1107"/>
      </w:pPr>
      <w:r>
        <w:rPr>
          <w:rFonts w:hint="eastAsia" w:ascii="黑体" w:eastAsia="黑体"/>
        </w:rPr>
        <w:t>第四十九条</w:t>
      </w:r>
      <w:r>
        <w:rPr>
          <w:rFonts w:hint="eastAsia" w:ascii="黑体" w:eastAsia="黑体"/>
        </w:rPr>
        <w:tab/>
      </w:r>
      <w:r>
        <w:t>本办法自印发之日起施行。</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5"/>
        <w:ind w:left="0"/>
        <w:rPr>
          <w:sz w:val="15"/>
        </w:rPr>
      </w:pPr>
      <w:r>
        <mc:AlternateContent>
          <mc:Choice Requires="wps">
            <w:drawing>
              <wp:anchor distT="0" distB="0" distL="0" distR="0" simplePos="0" relativeHeight="251665408" behindDoc="1" locked="0" layoutInCell="1" allowOverlap="1">
                <wp:simplePos x="0" y="0"/>
                <wp:positionH relativeFrom="page">
                  <wp:posOffset>1026160</wp:posOffset>
                </wp:positionH>
                <wp:positionV relativeFrom="paragraph">
                  <wp:posOffset>154940</wp:posOffset>
                </wp:positionV>
                <wp:extent cx="5829300" cy="635"/>
                <wp:effectExtent l="0" t="0" r="0" b="0"/>
                <wp:wrapTopAndBottom/>
                <wp:docPr id="6" name="直线 3"/>
                <wp:cNvGraphicFramePr/>
                <a:graphic xmlns:a="http://schemas.openxmlformats.org/drawingml/2006/main">
                  <a:graphicData uri="http://schemas.microsoft.com/office/word/2010/wordprocessingShape">
                    <wps:wsp>
                      <wps:cNvSpPr/>
                      <wps:spPr>
                        <a:xfrm>
                          <a:off x="0" y="0"/>
                          <a:ext cx="582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0.8pt;margin-top:12.2pt;height:0.05pt;width:459pt;mso-position-horizontal-relative:page;mso-wrap-distance-bottom:0pt;mso-wrap-distance-top:0pt;z-index:-251651072;mso-width-relative:page;mso-height-relative:page;" filled="f" stroked="t" coordsize="21600,21600" o:gfxdata="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gMax9YA&#10;AAAKAQAADwAAAAAAAAABACAAAAAiAAAAZHJzL2Rvd25yZXYueG1sUEsBAhQAFAAAAAgAh07iQDnw&#10;h5boAQAA3QMAAA4AAAAAAAAAAQAgAAAAJQEAAGRycy9lMm9Eb2MueG1sUEsFBgAAAAAGAAYAWQEA&#10;AH8FAAAAAA==&#10;">
                <v:fill on="f" focussize="0,0"/>
                <v:stroke color="#000000" joinstyle="round"/>
                <v:imagedata o:title=""/>
                <o:lock v:ext="edit" aspectratio="f"/>
                <w10:wrap type="topAndBottom"/>
              </v:line>
            </w:pict>
          </mc:Fallback>
        </mc:AlternateContent>
      </w:r>
    </w:p>
    <w:p>
      <w:pPr>
        <w:spacing w:before="56" w:line="348" w:lineRule="auto"/>
        <w:ind w:left="1588" w:right="294" w:hanging="841"/>
        <w:jc w:val="left"/>
        <w:rPr>
          <w:sz w:val="28"/>
        </w:rPr>
      </w:pPr>
      <w:r>
        <w:rPr>
          <w:spacing w:val="-8"/>
          <w:sz w:val="28"/>
        </w:rPr>
        <w:t>抄送：市委各部门，市人大常委会办公厅，市政协办公厅，市纪检委办</w:t>
      </w:r>
      <w:r>
        <w:rPr>
          <w:spacing w:val="-17"/>
          <w:sz w:val="28"/>
        </w:rPr>
        <w:t>公厅，市法院、检察院，各民主党派，各人民团体，江城日报社。</w:t>
      </w:r>
    </w:p>
    <w:p>
      <w:pPr>
        <w:tabs>
          <w:tab w:val="left" w:pos="6627"/>
        </w:tabs>
        <w:spacing w:before="0"/>
        <w:ind w:left="747" w:right="0" w:firstLine="0"/>
        <w:jc w:val="left"/>
        <w:rPr>
          <w:sz w:val="28"/>
        </w:rPr>
      </w:pPr>
      <w:r>
        <mc:AlternateContent>
          <mc:Choice Requires="wps">
            <w:drawing>
              <wp:anchor distT="0" distB="0" distL="0" distR="0" simplePos="0" relativeHeight="251666432" behindDoc="1" locked="0" layoutInCell="1" allowOverlap="1">
                <wp:simplePos x="0" y="0"/>
                <wp:positionH relativeFrom="page">
                  <wp:posOffset>997585</wp:posOffset>
                </wp:positionH>
                <wp:positionV relativeFrom="paragraph">
                  <wp:posOffset>285750</wp:posOffset>
                </wp:positionV>
                <wp:extent cx="5829300" cy="635"/>
                <wp:effectExtent l="0" t="0" r="0" b="0"/>
                <wp:wrapTopAndBottom/>
                <wp:docPr id="8" name="直线 4"/>
                <wp:cNvGraphicFramePr/>
                <a:graphic xmlns:a="http://schemas.openxmlformats.org/drawingml/2006/main">
                  <a:graphicData uri="http://schemas.microsoft.com/office/word/2010/wordprocessingShape">
                    <wps:wsp>
                      <wps:cNvSpPr/>
                      <wps:spPr>
                        <a:xfrm>
                          <a:off x="0" y="0"/>
                          <a:ext cx="582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8.55pt;margin-top:22.5pt;height:0.05pt;width:459pt;mso-position-horizontal-relative:page;mso-wrap-distance-bottom:0pt;mso-wrap-distance-top:0pt;z-index:-251650048;mso-width-relative:page;mso-height-relative:page;" filled="f" stroked="t" coordsize="21600,21600" o:gfxdata="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mlWR9YA&#10;AAAKAQAADwAAAAAAAAABACAAAAAiAAAAZHJzL2Rvd25yZXYueG1sUEsBAhQAFAAAAAgAh07iQBoY&#10;P+7oAQAA3QMAAA4AAAAAAAAAAQAgAAAAJQEAAGRycy9lMm9Eb2MueG1sUEsFBgAAAAAGAAYAWQEA&#10;AH8FAAAAAA==&#10;">
                <v:fill on="f" focussize="0,0"/>
                <v:stroke color="#000000" joinstyle="round"/>
                <v:imagedata o:title=""/>
                <o:lock v:ext="edit" aspectratio="f"/>
                <w10:wrap type="topAndBottom"/>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988060</wp:posOffset>
                </wp:positionH>
                <wp:positionV relativeFrom="paragraph">
                  <wp:posOffset>-37465</wp:posOffset>
                </wp:positionV>
                <wp:extent cx="5829300" cy="635"/>
                <wp:effectExtent l="0" t="0" r="0" b="0"/>
                <wp:wrapNone/>
                <wp:docPr id="2" name="直线 5"/>
                <wp:cNvGraphicFramePr/>
                <a:graphic xmlns:a="http://schemas.openxmlformats.org/drawingml/2006/main">
                  <a:graphicData uri="http://schemas.microsoft.com/office/word/2010/wordprocessingShape">
                    <wps:wsp>
                      <wps:cNvSpPr/>
                      <wps:spPr>
                        <a:xfrm>
                          <a:off x="0" y="0"/>
                          <a:ext cx="582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7.8pt;margin-top:-2.95pt;height:0.05pt;width:459pt;mso-position-horizontal-relative:page;z-index:-251653120;mso-width-relative:page;mso-height-relative:page;" filled="f" stroked="t" coordsize="21600,21600" o:gfxdata="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o+R&#10;pNcAAAAKAQAADwAAAAAAAAABACAAAAAiAAAAZHJzL2Rvd25yZXYueG1sUEsBAhQAFAAAAAgAh07i&#10;QMpfDpbqAQAA3QMAAA4AAAAAAAAAAQAgAAAAJgEAAGRycy9lMm9Eb2MueG1sUEsFBgAAAAAGAAYA&#10;WQEAAIIFAAAAAA==&#10;">
                <v:fill on="f" focussize="0,0"/>
                <v:stroke color="#000000" joinstyle="round"/>
                <v:imagedata o:title=""/>
                <o:lock v:ext="edit" aspectratio="f"/>
              </v:line>
            </w:pict>
          </mc:Fallback>
        </mc:AlternateContent>
      </w:r>
      <w:r>
        <w:rPr>
          <w:sz w:val="28"/>
        </w:rPr>
        <w:t>吉林市人民政府办公厅</w:t>
      </w:r>
      <w:r>
        <w:rPr>
          <w:sz w:val="28"/>
        </w:rPr>
        <w:tab/>
      </w:r>
      <w:r>
        <w:rPr>
          <w:sz w:val="28"/>
        </w:rPr>
        <w:t>2016</w:t>
      </w:r>
      <w:r>
        <w:rPr>
          <w:spacing w:val="-98"/>
          <w:sz w:val="28"/>
        </w:rPr>
        <w:t xml:space="preserve"> </w:t>
      </w:r>
      <w:r>
        <w:rPr>
          <w:spacing w:val="45"/>
          <w:sz w:val="28"/>
        </w:rPr>
        <w:t>年</w:t>
      </w:r>
      <w:r>
        <w:rPr>
          <w:sz w:val="28"/>
        </w:rPr>
        <w:t>12</w:t>
      </w:r>
      <w:r>
        <w:rPr>
          <w:spacing w:val="-97"/>
          <w:sz w:val="28"/>
        </w:rPr>
        <w:t xml:space="preserve"> </w:t>
      </w:r>
      <w:r>
        <w:rPr>
          <w:spacing w:val="45"/>
          <w:sz w:val="28"/>
        </w:rPr>
        <w:t>月</w:t>
      </w:r>
      <w:r>
        <w:rPr>
          <w:sz w:val="28"/>
        </w:rPr>
        <w:t>19</w:t>
      </w:r>
      <w:r>
        <w:rPr>
          <w:spacing w:val="-97"/>
          <w:sz w:val="28"/>
        </w:rPr>
        <w:t xml:space="preserve"> </w:t>
      </w:r>
      <w:r>
        <w:rPr>
          <w:sz w:val="28"/>
        </w:rPr>
        <w:t>日印发</w:t>
      </w:r>
    </w:p>
    <w:sectPr>
      <w:pgSz w:w="11910" w:h="16840"/>
      <w:pgMar w:top="1600" w:right="980" w:bottom="1100" w:left="1120" w:header="0" w:footer="90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6425565</wp:posOffset>
              </wp:positionH>
              <wp:positionV relativeFrom="page">
                <wp:posOffset>9977755</wp:posOffset>
              </wp:positionV>
              <wp:extent cx="248285" cy="173355"/>
              <wp:effectExtent l="0" t="0" r="0" b="0"/>
              <wp:wrapNone/>
              <wp:docPr id="12" name="文本框 2"/>
              <wp:cNvGraphicFramePr/>
              <a:graphic xmlns:a="http://schemas.openxmlformats.org/drawingml/2006/main">
                <a:graphicData uri="http://schemas.microsoft.com/office/word/2010/wordprocessingShape">
                  <wps:wsp>
                    <wps:cNvSpPr txBox="1"/>
                    <wps:spPr>
                      <a:xfrm>
                        <a:off x="0" y="0"/>
                        <a:ext cx="248285" cy="173355"/>
                      </a:xfrm>
                      <a:prstGeom prst="rect">
                        <a:avLst/>
                      </a:prstGeom>
                      <a:noFill/>
                      <a:ln>
                        <a:noFill/>
                      </a:ln>
                    </wps:spPr>
                    <wps:txbx>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3</w:t>
                          </w:r>
                          <w:r>
                            <w:fldChar w:fldCharType="end"/>
                          </w:r>
                          <w:r>
                            <w:rPr>
                              <w:rFonts w:ascii="Times New Roman"/>
                              <w:sz w:val="21"/>
                            </w:rPr>
                            <w:t xml:space="preserve"> -</w:t>
                          </w:r>
                        </w:p>
                      </w:txbxContent>
                    </wps:txbx>
                    <wps:bodyPr lIns="0" tIns="0" rIns="0" bIns="0" upright="1"/>
                  </wps:wsp>
                </a:graphicData>
              </a:graphic>
            </wp:anchor>
          </w:drawing>
        </mc:Choice>
        <mc:Fallback>
          <w:pict>
            <v:shape id="文本框 2" o:spid="_x0000_s1026" o:spt="202" type="#_x0000_t202" style="position:absolute;left:0pt;margin-left:505.95pt;margin-top:785.65pt;height:13.65pt;width:19.55pt;mso-position-horizontal-relative:page;mso-position-vertical-relative:page;z-index:-251656192;mso-width-relative:page;mso-height-relative:page;" filled="f" stroked="f" coordsize="21600,21600" o:gfxdata="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SD9gXbAAAADwEAAA8AAAAAAAAAAQAgAAAAIgAAAGRycy9kb3ducmV2LnhtbFBL&#10;AQIUABQAAAAIAIdO4kDvULsSugEAAHIDAAAOAAAAAAAAAAEAIAAAACoBAABkcnMvZTJvRG9jLnht&#10;bFBLBQYAAAAABgAGAFkBAABWBQAAAAA=&#10;">
              <v:fill on="f" focussize="0,0"/>
              <v:stroke on="f"/>
              <v:imagedata o:title=""/>
              <o:lock v:ext="edit" aspectratio="f"/>
              <v:textbox inset="0mm,0mm,0mm,0mm">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3</w:t>
                    </w:r>
                    <w:r>
                      <w:fldChar w:fldCharType="end"/>
                    </w:r>
                    <w:r>
                      <w:rPr>
                        <w:rFonts w:ascii="Times New Roman"/>
                        <w:sz w:val="21"/>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995045</wp:posOffset>
              </wp:positionH>
              <wp:positionV relativeFrom="page">
                <wp:posOffset>9977755</wp:posOffset>
              </wp:positionV>
              <wp:extent cx="315595" cy="173355"/>
              <wp:effectExtent l="0" t="0" r="0" b="0"/>
              <wp:wrapNone/>
              <wp:docPr id="10" name="文本框 1"/>
              <wp:cNvGraphicFramePr/>
              <a:graphic xmlns:a="http://schemas.openxmlformats.org/drawingml/2006/main">
                <a:graphicData uri="http://schemas.microsoft.com/office/word/2010/wordprocessingShape">
                  <wps:wsp>
                    <wps:cNvSpPr txBox="1"/>
                    <wps:spPr>
                      <a:xfrm>
                        <a:off x="0" y="0"/>
                        <a:ext cx="315595" cy="173355"/>
                      </a:xfrm>
                      <a:prstGeom prst="rect">
                        <a:avLst/>
                      </a:prstGeom>
                      <a:noFill/>
                      <a:ln>
                        <a:noFill/>
                      </a:ln>
                    </wps:spPr>
                    <wps:txbx>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10</w:t>
                          </w:r>
                          <w:r>
                            <w:fldChar w:fldCharType="end"/>
                          </w:r>
                          <w:r>
                            <w:rPr>
                              <w:rFonts w:ascii="Times New Roman"/>
                              <w:sz w:val="21"/>
                            </w:rPr>
                            <w:t xml:space="preserve"> -</w:t>
                          </w:r>
                        </w:p>
                      </w:txbxContent>
                    </wps:txbx>
                    <wps:bodyPr lIns="0" tIns="0" rIns="0" bIns="0" upright="1"/>
                  </wps:wsp>
                </a:graphicData>
              </a:graphic>
            </wp:anchor>
          </w:drawing>
        </mc:Choice>
        <mc:Fallback>
          <w:pict>
            <v:shape id="文本框 1" o:spid="_x0000_s1026" o:spt="202" type="#_x0000_t202" style="position:absolute;left:0pt;margin-left:78.35pt;margin-top:785.65pt;height:13.65pt;width:24.85pt;mso-position-horizontal-relative:page;mso-position-vertical-relative:page;z-index:-251657216;mso-width-relative:page;mso-height-relative:page;" filled="f" stroked="f" coordsize="21600,21600" o:gfxdata="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7EyGdoAAAANAQAADwAAAAAAAAABACAAAAAiAAAAZHJzL2Rvd25yZXYueG1sUEsB&#10;AhQAFAAAAAgAh07iQL6vcQe6AQAAcgMAAA4AAAAAAAAAAQAgAAAAKQEAAGRycy9lMm9Eb2MueG1s&#10;UEsFBgAAAAAGAAYAWQEAAFUFAAAAAA==&#10;">
              <v:fill on="f" focussize="0,0"/>
              <v:stroke on="f"/>
              <v:imagedata o:title=""/>
              <o:lock v:ext="edit" aspectratio="f"/>
              <v:textbox inset="0mm,0mm,0mm,0mm">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10</w:t>
                    </w:r>
                    <w:r>
                      <w:fldChar w:fldCharType="end"/>
                    </w:r>
                    <w:r>
                      <w:rPr>
                        <w:rFonts w:ascii="Times New Roman"/>
                        <w:sz w:val="21"/>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6359525</wp:posOffset>
              </wp:positionH>
              <wp:positionV relativeFrom="page">
                <wp:posOffset>9977755</wp:posOffset>
              </wp:positionV>
              <wp:extent cx="315595" cy="173355"/>
              <wp:effectExtent l="0" t="0" r="0" b="0"/>
              <wp:wrapNone/>
              <wp:docPr id="14" name="文本框 3"/>
              <wp:cNvGraphicFramePr/>
              <a:graphic xmlns:a="http://schemas.openxmlformats.org/drawingml/2006/main">
                <a:graphicData uri="http://schemas.microsoft.com/office/word/2010/wordprocessingShape">
                  <wps:wsp>
                    <wps:cNvSpPr txBox="1"/>
                    <wps:spPr>
                      <a:xfrm>
                        <a:off x="0" y="0"/>
                        <a:ext cx="315595" cy="173355"/>
                      </a:xfrm>
                      <a:prstGeom prst="rect">
                        <a:avLst/>
                      </a:prstGeom>
                      <a:noFill/>
                      <a:ln>
                        <a:noFill/>
                      </a:ln>
                    </wps:spPr>
                    <wps:txbx>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13</w:t>
                          </w:r>
                          <w:r>
                            <w:fldChar w:fldCharType="end"/>
                          </w:r>
                          <w:r>
                            <w:rPr>
                              <w:rFonts w:ascii="Times New Roman"/>
                              <w:sz w:val="21"/>
                            </w:rPr>
                            <w:t xml:space="preserve"> -</w:t>
                          </w:r>
                        </w:p>
                      </w:txbxContent>
                    </wps:txbx>
                    <wps:bodyPr lIns="0" tIns="0" rIns="0" bIns="0" upright="1"/>
                  </wps:wsp>
                </a:graphicData>
              </a:graphic>
            </wp:anchor>
          </w:drawing>
        </mc:Choice>
        <mc:Fallback>
          <w:pict>
            <v:shape id="文本框 3" o:spid="_x0000_s1026" o:spt="202" type="#_x0000_t202" style="position:absolute;left:0pt;margin-left:500.75pt;margin-top:785.65pt;height:13.65pt;width:24.85pt;mso-position-horizontal-relative:page;mso-position-vertical-relative:page;z-index:-251655168;mso-width-relative:page;mso-height-relative:page;" filled="f" stroked="f" coordsize="21600,21600" o:gfxdata="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4Z0/jbAAAADwEAAA8AAAAAAAAAAQAgAAAAIgAAAGRycy9kb3ducmV2LnhtbFBL&#10;AQIUABQAAAAIAIdO4kCM0sjSugEAAHIDAAAOAAAAAAAAAAEAIAAAACoBAABkcnMvZTJvRG9jLnht&#10;bFBLBQYAAAAABgAGAFkBAABWBQAAAAA=&#10;">
              <v:fill on="f" focussize="0,0"/>
              <v:stroke on="f"/>
              <v:imagedata o:title=""/>
              <o:lock v:ext="edit" aspectratio="f"/>
              <v:textbox inset="0mm,0mm,0mm,0mm">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13</w:t>
                    </w:r>
                    <w:r>
                      <w:fldChar w:fldCharType="end"/>
                    </w:r>
                    <w:r>
                      <w:rPr>
                        <w:rFonts w:ascii="Times New Roman"/>
                        <w:sz w:val="21"/>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995045</wp:posOffset>
              </wp:positionH>
              <wp:positionV relativeFrom="page">
                <wp:posOffset>9977755</wp:posOffset>
              </wp:positionV>
              <wp:extent cx="315595" cy="173355"/>
              <wp:effectExtent l="0" t="0" r="0" b="0"/>
              <wp:wrapNone/>
              <wp:docPr id="16" name="文本框 4"/>
              <wp:cNvGraphicFramePr/>
              <a:graphic xmlns:a="http://schemas.openxmlformats.org/drawingml/2006/main">
                <a:graphicData uri="http://schemas.microsoft.com/office/word/2010/wordprocessingShape">
                  <wps:wsp>
                    <wps:cNvSpPr txBox="1"/>
                    <wps:spPr>
                      <a:xfrm>
                        <a:off x="0" y="0"/>
                        <a:ext cx="315595" cy="173355"/>
                      </a:xfrm>
                      <a:prstGeom prst="rect">
                        <a:avLst/>
                      </a:prstGeom>
                      <a:noFill/>
                      <a:ln>
                        <a:noFill/>
                      </a:ln>
                    </wps:spPr>
                    <wps:txbx>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12</w:t>
                          </w:r>
                          <w:r>
                            <w:fldChar w:fldCharType="end"/>
                          </w:r>
                          <w:r>
                            <w:rPr>
                              <w:rFonts w:ascii="Times New Roman"/>
                              <w:sz w:val="21"/>
                            </w:rPr>
                            <w:t xml:space="preserve"> -</w:t>
                          </w:r>
                        </w:p>
                      </w:txbxContent>
                    </wps:txbx>
                    <wps:bodyPr lIns="0" tIns="0" rIns="0" bIns="0" upright="1"/>
                  </wps:wsp>
                </a:graphicData>
              </a:graphic>
            </wp:anchor>
          </w:drawing>
        </mc:Choice>
        <mc:Fallback>
          <w:pict>
            <v:shape id="文本框 4" o:spid="_x0000_s1026" o:spt="202" type="#_x0000_t202" style="position:absolute;left:0pt;margin-left:78.35pt;margin-top:785.65pt;height:13.65pt;width:24.85pt;mso-position-horizontal-relative:page;mso-position-vertical-relative:page;z-index:-251654144;mso-width-relative:page;mso-height-relative:page;" filled="f" stroked="f" coordsize="21600,21600" o:gfxdata="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7EyGdoAAAANAQAADwAAAAAAAAABACAAAAAiAAAAZHJzL2Rvd25yZXYueG1sUEsB&#10;AhQAFAAAAAgAh07iQDDcmYy6AQAAcgMAAA4AAAAAAAAAAQAgAAAAKQEAAGRycy9lMm9Eb2MueG1s&#10;UEsFBgAAAAAGAAYAWQEAAFUFAAAAAA==&#10;">
              <v:fill on="f" focussize="0,0"/>
              <v:stroke on="f"/>
              <v:imagedata o:title=""/>
              <o:lock v:ext="edit" aspectratio="f"/>
              <v:textbox inset="0mm,0mm,0mm,0mm">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12</w:t>
                    </w:r>
                    <w:r>
                      <w:fldChar w:fldCharType="end"/>
                    </w:r>
                    <w:r>
                      <w:rPr>
                        <w:rFonts w:ascii="Times New Roman"/>
                        <w:sz w:val="21"/>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E70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397"/>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467"/>
    </w:pPr>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2019-08-09T02:51:00Z</dcterms:created>
  <dc:creator>Administrator</dc:creator>
  <cp:lastModifiedBy>WPS_1609809442</cp:lastModifiedBy>
  <dcterms:modified xsi:type="dcterms:W3CDTF">2021-06-16T07:41:35Z</dcterms:modified>
  <dc:title>&lt;4D6963726F736F667420576F7264202D20BCAACAD0D5FEB0ECB7A2A1B232303136A1B33338BAC520CDB6D7CAD2FDB5BCBBF9BDF020BAECCDB72E646F63&gt;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PScript5.dll Version 5.2</vt:lpwstr>
  </property>
  <property fmtid="{D5CDD505-2E9C-101B-9397-08002B2CF9AE}" pid="4" name="LastSaved">
    <vt:filetime>2019-08-09T00:00:00Z</vt:filetime>
  </property>
  <property fmtid="{D5CDD505-2E9C-101B-9397-08002B2CF9AE}" pid="5" name="KSOProductBuildVer">
    <vt:lpwstr>2052-11.1.0.10577</vt:lpwstr>
  </property>
  <property fmtid="{D5CDD505-2E9C-101B-9397-08002B2CF9AE}" pid="6" name="ICV">
    <vt:lpwstr>450BF4C251F340D784D88EAB80996671</vt:lpwstr>
  </property>
</Properties>
</file>